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FA" w:rsidRDefault="00903DFA" w:rsidP="00903DFA">
      <w:pPr>
        <w:spacing w:after="0" w:line="480" w:lineRule="auto"/>
        <w:rPr>
          <w:rFonts w:ascii="Arial" w:hAnsi="Arial" w:cs="Arial"/>
          <w:b/>
          <w:szCs w:val="20"/>
        </w:rPr>
      </w:pPr>
      <w:r w:rsidRPr="00053788">
        <w:rPr>
          <w:rFonts w:ascii="Arial" w:hAnsi="Arial" w:cs="Arial"/>
          <w:iCs/>
          <w:szCs w:val="20"/>
        </w:rPr>
        <w:t>Emily Boggs</w:t>
      </w:r>
    </w:p>
    <w:p w:rsidR="001C60F8" w:rsidRPr="00903DFA" w:rsidRDefault="00555845" w:rsidP="00903DFA">
      <w:pPr>
        <w:spacing w:after="0" w:line="480" w:lineRule="auto"/>
        <w:rPr>
          <w:rFonts w:ascii="Arial" w:hAnsi="Arial" w:cs="Arial"/>
          <w:b/>
          <w:i/>
          <w:iCs/>
          <w:szCs w:val="20"/>
        </w:rPr>
      </w:pPr>
      <w:r w:rsidRPr="001C60F8">
        <w:rPr>
          <w:rFonts w:ascii="Arial" w:hAnsi="Arial" w:cs="Arial"/>
          <w:b/>
          <w:szCs w:val="20"/>
        </w:rPr>
        <w:t xml:space="preserve">Mesenchymal stem cells mechanically stimulated </w:t>
      </w:r>
      <w:r w:rsidRPr="001C60F8">
        <w:rPr>
          <w:rFonts w:ascii="Arial" w:hAnsi="Arial" w:cs="Arial"/>
          <w:b/>
          <w:i/>
          <w:iCs/>
          <w:szCs w:val="20"/>
        </w:rPr>
        <w:t>in vitro</w:t>
      </w:r>
      <w:r w:rsidRPr="001C60F8">
        <w:rPr>
          <w:rFonts w:ascii="Arial" w:hAnsi="Arial" w:cs="Arial"/>
          <w:b/>
          <w:szCs w:val="20"/>
        </w:rPr>
        <w:t xml:space="preserve"> may provide enhanced healing </w:t>
      </w:r>
      <w:r w:rsidRPr="001C60F8">
        <w:rPr>
          <w:rFonts w:ascii="Arial" w:hAnsi="Arial" w:cs="Arial"/>
          <w:b/>
          <w:i/>
          <w:iCs/>
          <w:szCs w:val="20"/>
        </w:rPr>
        <w:t>in vivo</w:t>
      </w:r>
    </w:p>
    <w:p w:rsidR="00C15639" w:rsidRPr="00B418E8" w:rsidRDefault="00C15639" w:rsidP="00C15639">
      <w:pPr>
        <w:spacing w:after="0" w:line="480" w:lineRule="auto"/>
        <w:ind w:firstLine="720"/>
        <w:rPr>
          <w:rFonts w:ascii="Arial" w:hAnsi="Arial" w:cs="Arial"/>
          <w:sz w:val="20"/>
          <w:szCs w:val="20"/>
        </w:rPr>
      </w:pPr>
      <w:r w:rsidRPr="00B418E8">
        <w:rPr>
          <w:rFonts w:ascii="Arial" w:hAnsi="Arial" w:cs="Arial"/>
          <w:sz w:val="20"/>
          <w:szCs w:val="20"/>
        </w:rPr>
        <w:t>Osteoarthritis, a debilitating but very common disorder, represents a set of conditions caused by the loss of cartilage and/or subchondral bone in a joint.  The eventual formation of osteoarthritis in individuals is mostly due to extended wear and tear of cartilage as well as its intrinsic inability to fully heal.  As an avascular tissue [</w:t>
      </w:r>
      <w:r w:rsidR="00B418E8">
        <w:rPr>
          <w:rFonts w:ascii="Arial" w:hAnsi="Arial" w:cs="Arial"/>
          <w:sz w:val="20"/>
          <w:szCs w:val="20"/>
        </w:rPr>
        <w:t>1</w:t>
      </w:r>
      <w:r w:rsidRPr="00B418E8">
        <w:rPr>
          <w:rFonts w:ascii="Arial" w:hAnsi="Arial" w:cs="Arial"/>
          <w:sz w:val="20"/>
          <w:szCs w:val="20"/>
        </w:rPr>
        <w:t>], cartilage has virtually no method for bringing in nutrients from the bloodstream to replenish damaged areas.  While the damage of cartilaginous tissue can cause an immediate local response – a promising cacophony of chondrocyte proliferation and matrix synthesis – the response is too short-lived to make a substantial impact in healing the defect [</w:t>
      </w:r>
      <w:r w:rsidR="00AC7875">
        <w:rPr>
          <w:rFonts w:ascii="Arial" w:hAnsi="Arial" w:cs="Arial"/>
          <w:sz w:val="20"/>
          <w:szCs w:val="20"/>
        </w:rPr>
        <w:t>2</w:t>
      </w:r>
      <w:r w:rsidRPr="00B418E8">
        <w:rPr>
          <w:rFonts w:ascii="Arial" w:hAnsi="Arial" w:cs="Arial"/>
          <w:sz w:val="20"/>
          <w:szCs w:val="20"/>
        </w:rPr>
        <w:t>].</w:t>
      </w:r>
    </w:p>
    <w:p w:rsidR="00C15639" w:rsidRPr="00B418E8" w:rsidRDefault="00C15639" w:rsidP="00C15639">
      <w:pPr>
        <w:spacing w:after="0" w:line="480" w:lineRule="auto"/>
        <w:ind w:firstLine="720"/>
        <w:rPr>
          <w:rFonts w:ascii="Arial" w:hAnsi="Arial" w:cs="Arial"/>
          <w:sz w:val="20"/>
          <w:szCs w:val="20"/>
        </w:rPr>
      </w:pPr>
      <w:proofErr w:type="gramStart"/>
      <w:r w:rsidRPr="00B418E8">
        <w:rPr>
          <w:rFonts w:ascii="Arial" w:hAnsi="Arial" w:cs="Arial"/>
          <w:sz w:val="20"/>
          <w:szCs w:val="20"/>
        </w:rPr>
        <w:t>One strategy to combat cartilage degeneration</w:t>
      </w:r>
      <w:r w:rsidR="00CF6AB3" w:rsidRPr="00B418E8">
        <w:rPr>
          <w:rFonts w:ascii="Arial" w:hAnsi="Arial" w:cs="Arial"/>
          <w:sz w:val="20"/>
          <w:szCs w:val="20"/>
        </w:rPr>
        <w:t>, autologous chondrocyte transplantation,</w:t>
      </w:r>
      <w:r w:rsidRPr="00B418E8">
        <w:rPr>
          <w:rFonts w:ascii="Arial" w:hAnsi="Arial" w:cs="Arial"/>
          <w:sz w:val="20"/>
          <w:szCs w:val="20"/>
        </w:rPr>
        <w:t xml:space="preserve"> gained popularity in clinical trials</w:t>
      </w:r>
      <w:r w:rsidR="00CF6AB3" w:rsidRPr="00B418E8">
        <w:rPr>
          <w:rFonts w:ascii="Arial" w:hAnsi="Arial" w:cs="Arial"/>
          <w:sz w:val="20"/>
          <w:szCs w:val="20"/>
        </w:rPr>
        <w:t xml:space="preserve"> during the late 90s.</w:t>
      </w:r>
      <w:proofErr w:type="gramEnd"/>
      <w:r w:rsidRPr="00B418E8">
        <w:rPr>
          <w:rFonts w:ascii="Arial" w:hAnsi="Arial" w:cs="Arial"/>
          <w:sz w:val="20"/>
          <w:szCs w:val="20"/>
        </w:rPr>
        <w:t xml:space="preserve">  This method involves the harvest of chondrocytes from the subject’s own tissue, multiplying their numbers </w:t>
      </w:r>
      <w:r w:rsidRPr="00B418E8">
        <w:rPr>
          <w:rFonts w:ascii="Arial" w:hAnsi="Arial" w:cs="Arial"/>
          <w:i/>
          <w:sz w:val="20"/>
          <w:szCs w:val="20"/>
        </w:rPr>
        <w:t>in vitro</w:t>
      </w:r>
      <w:r w:rsidRPr="00B418E8">
        <w:rPr>
          <w:rFonts w:ascii="Arial" w:hAnsi="Arial" w:cs="Arial"/>
          <w:sz w:val="20"/>
          <w:szCs w:val="20"/>
        </w:rPr>
        <w:t>, and injecting them into the site of the cartilaginous defect [</w:t>
      </w:r>
      <w:r w:rsidR="00AC7875">
        <w:rPr>
          <w:rFonts w:ascii="Arial" w:hAnsi="Arial" w:cs="Arial"/>
          <w:sz w:val="20"/>
          <w:szCs w:val="20"/>
        </w:rPr>
        <w:t>2</w:t>
      </w:r>
      <w:r w:rsidRPr="00B418E8">
        <w:rPr>
          <w:rFonts w:ascii="Arial" w:hAnsi="Arial" w:cs="Arial"/>
          <w:sz w:val="20"/>
          <w:szCs w:val="20"/>
        </w:rPr>
        <w:t xml:space="preserve">].  However, this method was often hindered by the fact that chondrocytes comprise only 5-10% of cartilage tissue, requiring the excision of large areas of cartilage for a substantial number of chondrocytes to be harvested.  In addition, the </w:t>
      </w:r>
      <w:r w:rsidRPr="00B418E8">
        <w:rPr>
          <w:rFonts w:ascii="Arial" w:hAnsi="Arial" w:cs="Arial"/>
          <w:i/>
          <w:sz w:val="20"/>
          <w:szCs w:val="20"/>
        </w:rPr>
        <w:t>in vitro</w:t>
      </w:r>
      <w:r w:rsidRPr="00B418E8">
        <w:rPr>
          <w:rFonts w:ascii="Arial" w:hAnsi="Arial" w:cs="Arial"/>
          <w:sz w:val="20"/>
          <w:szCs w:val="20"/>
        </w:rPr>
        <w:t xml:space="preserve"> culture of chondrocytes causes them to slowly lose their genotypic characteristics in a process called “dedifferentiation.”  This development is marked by a decrease in the synthesis of collagen II and proteoglycans [</w:t>
      </w:r>
      <w:r w:rsidR="00AC7875">
        <w:rPr>
          <w:rFonts w:ascii="Arial" w:hAnsi="Arial" w:cs="Arial"/>
          <w:sz w:val="20"/>
          <w:szCs w:val="20"/>
        </w:rPr>
        <w:t>3</w:t>
      </w:r>
      <w:r w:rsidRPr="00B418E8">
        <w:rPr>
          <w:rFonts w:ascii="Arial" w:hAnsi="Arial" w:cs="Arial"/>
          <w:sz w:val="20"/>
          <w:szCs w:val="20"/>
        </w:rPr>
        <w:t>].</w:t>
      </w:r>
    </w:p>
    <w:p w:rsidR="00C15639" w:rsidRPr="00B418E8" w:rsidRDefault="00C15639" w:rsidP="00C15639">
      <w:pPr>
        <w:spacing w:after="0" w:line="480" w:lineRule="auto"/>
        <w:ind w:firstLine="720"/>
        <w:rPr>
          <w:rFonts w:ascii="Arial" w:hAnsi="Arial" w:cs="Arial"/>
          <w:sz w:val="20"/>
          <w:szCs w:val="20"/>
        </w:rPr>
      </w:pPr>
      <w:r w:rsidRPr="00B418E8">
        <w:rPr>
          <w:rFonts w:ascii="Arial" w:hAnsi="Arial" w:cs="Arial"/>
          <w:sz w:val="20"/>
          <w:szCs w:val="20"/>
        </w:rPr>
        <w:t xml:space="preserve">Another approach to the regeneration of cartilage is the injection of mesenchymal stem cells (MSCs) into the defect area.  MSCs are adult stem cells found in bone marrow.  Though not as varied in their differentiation abilities as embryonic stem cells, MSCs can mature into bone, cartilage, muscle, adipose, ligament, tendon, and </w:t>
      </w:r>
      <w:proofErr w:type="spellStart"/>
      <w:r w:rsidRPr="00B418E8">
        <w:rPr>
          <w:rFonts w:ascii="Arial" w:hAnsi="Arial" w:cs="Arial"/>
          <w:sz w:val="20"/>
          <w:szCs w:val="20"/>
        </w:rPr>
        <w:t>stroma</w:t>
      </w:r>
      <w:proofErr w:type="spellEnd"/>
      <w:r w:rsidRPr="00B418E8">
        <w:rPr>
          <w:rFonts w:ascii="Arial" w:hAnsi="Arial" w:cs="Arial"/>
          <w:sz w:val="20"/>
          <w:szCs w:val="20"/>
        </w:rPr>
        <w:t xml:space="preserve"> lineages [</w:t>
      </w:r>
      <w:r w:rsidR="00AC7875">
        <w:rPr>
          <w:rFonts w:ascii="Arial" w:hAnsi="Arial" w:cs="Arial"/>
          <w:sz w:val="20"/>
          <w:szCs w:val="20"/>
        </w:rPr>
        <w:t>4</w:t>
      </w:r>
      <w:r w:rsidRPr="00B418E8">
        <w:rPr>
          <w:rFonts w:ascii="Arial" w:hAnsi="Arial" w:cs="Arial"/>
          <w:sz w:val="20"/>
          <w:szCs w:val="20"/>
        </w:rPr>
        <w:t xml:space="preserve">], making them potent regenerative tools for these tissues.  Researched applications of regenerative MSC injections include cardiovascular repair, treatment of lung ﬁbrosis, intervertebral disc regeneration and bone and cartilage repair.  Research into the differentiation of MSCs has generated “recipes” of the different culture conditions and mechanical stimuli needed to induce a specific lineage </w:t>
      </w:r>
      <w:r w:rsidR="00AC7875">
        <w:rPr>
          <w:rFonts w:ascii="Arial" w:hAnsi="Arial" w:cs="Arial"/>
          <w:sz w:val="20"/>
          <w:szCs w:val="20"/>
        </w:rPr>
        <w:t>[</w:t>
      </w:r>
      <w:hyperlink r:id="rId6" w:history="1">
        <w:r w:rsidR="00AC7875" w:rsidRPr="00AC7875">
          <w:t>5</w:t>
        </w:r>
      </w:hyperlink>
      <w:r w:rsidRPr="00B418E8">
        <w:rPr>
          <w:rFonts w:ascii="Arial" w:hAnsi="Arial" w:cs="Arial"/>
          <w:sz w:val="20"/>
          <w:szCs w:val="20"/>
        </w:rPr>
        <w:t>].</w:t>
      </w:r>
    </w:p>
    <w:p w:rsidR="00C15639" w:rsidRPr="00B418E8" w:rsidRDefault="00C15639" w:rsidP="00C15639">
      <w:pPr>
        <w:spacing w:after="0" w:line="480" w:lineRule="auto"/>
        <w:rPr>
          <w:rFonts w:ascii="Arial" w:hAnsi="Arial" w:cs="Arial"/>
          <w:sz w:val="20"/>
          <w:szCs w:val="20"/>
        </w:rPr>
      </w:pPr>
      <w:r w:rsidRPr="00B418E8">
        <w:rPr>
          <w:rFonts w:ascii="Arial" w:hAnsi="Arial" w:cs="Arial"/>
          <w:sz w:val="20"/>
          <w:szCs w:val="20"/>
        </w:rPr>
        <w:tab/>
        <w:t>However, the specter of carcinogenesis has been a constant companion following stem cell regeneration research.  There is a fear that stems cells, including MSCs</w:t>
      </w:r>
      <w:r w:rsidR="00EA750A">
        <w:rPr>
          <w:rFonts w:ascii="Arial" w:hAnsi="Arial" w:cs="Arial"/>
          <w:sz w:val="20"/>
          <w:szCs w:val="20"/>
        </w:rPr>
        <w:t>,</w:t>
      </w:r>
      <w:r w:rsidRPr="00B418E8">
        <w:rPr>
          <w:rFonts w:ascii="Arial" w:hAnsi="Arial" w:cs="Arial"/>
          <w:sz w:val="20"/>
          <w:szCs w:val="20"/>
        </w:rPr>
        <w:t xml:space="preserve"> when injected into the body will </w:t>
      </w:r>
      <w:r w:rsidR="00EA750A">
        <w:rPr>
          <w:rFonts w:ascii="Arial" w:hAnsi="Arial" w:cs="Arial"/>
          <w:sz w:val="20"/>
          <w:szCs w:val="20"/>
        </w:rPr>
        <w:lastRenderedPageBreak/>
        <w:t xml:space="preserve">remain </w:t>
      </w:r>
      <w:r w:rsidRPr="00B418E8">
        <w:rPr>
          <w:rFonts w:ascii="Arial" w:hAnsi="Arial" w:cs="Arial"/>
          <w:sz w:val="20"/>
          <w:szCs w:val="20"/>
        </w:rPr>
        <w:t xml:space="preserve">undifferentiated clumps and form a tumor.  While no exact cases of this happening with MSCs have been reported, </w:t>
      </w:r>
      <w:proofErr w:type="spellStart"/>
      <w:r w:rsidRPr="00B418E8">
        <w:rPr>
          <w:rFonts w:ascii="Arial" w:hAnsi="Arial" w:cs="Arial"/>
          <w:sz w:val="20"/>
          <w:szCs w:val="20"/>
        </w:rPr>
        <w:t>Karnoub</w:t>
      </w:r>
      <w:proofErr w:type="spellEnd"/>
      <w:r w:rsidRPr="00B418E8">
        <w:rPr>
          <w:rFonts w:ascii="Arial" w:hAnsi="Arial" w:cs="Arial"/>
          <w:sz w:val="20"/>
          <w:szCs w:val="20"/>
        </w:rPr>
        <w:t xml:space="preserve"> et al. [</w:t>
      </w:r>
      <w:r w:rsidR="00612A86">
        <w:rPr>
          <w:rFonts w:ascii="Arial" w:hAnsi="Arial" w:cs="Arial"/>
          <w:sz w:val="20"/>
          <w:szCs w:val="20"/>
        </w:rPr>
        <w:t>6</w:t>
      </w:r>
      <w:r w:rsidRPr="00B418E8">
        <w:rPr>
          <w:rFonts w:ascii="Arial" w:hAnsi="Arial" w:cs="Arial"/>
          <w:sz w:val="20"/>
          <w:szCs w:val="20"/>
        </w:rPr>
        <w:t xml:space="preserve">] found that MSCs can be recruited by malignant breast cancer cells to form a supportive </w:t>
      </w:r>
      <w:proofErr w:type="spellStart"/>
      <w:r w:rsidRPr="00B418E8">
        <w:rPr>
          <w:rFonts w:ascii="Arial" w:hAnsi="Arial" w:cs="Arial"/>
          <w:sz w:val="20"/>
          <w:szCs w:val="20"/>
        </w:rPr>
        <w:t>stroma</w:t>
      </w:r>
      <w:proofErr w:type="spellEnd"/>
      <w:r w:rsidRPr="00B418E8">
        <w:rPr>
          <w:rFonts w:ascii="Arial" w:hAnsi="Arial" w:cs="Arial"/>
          <w:sz w:val="20"/>
          <w:szCs w:val="20"/>
        </w:rPr>
        <w:t xml:space="preserve"> layer.  In addition, these newly incorporated cells release a chemokine that increases cancer cell motility and thus encourages metastasis.  However, fully differentiated MSCs do not display this behavior.  </w:t>
      </w:r>
    </w:p>
    <w:p w:rsidR="00C15639" w:rsidRPr="00B418E8" w:rsidRDefault="00C15639" w:rsidP="00C15639">
      <w:pPr>
        <w:spacing w:after="0" w:line="480" w:lineRule="auto"/>
        <w:ind w:firstLine="360"/>
        <w:rPr>
          <w:rFonts w:ascii="Arial" w:hAnsi="Arial" w:cs="Arial"/>
          <w:sz w:val="20"/>
          <w:szCs w:val="20"/>
        </w:rPr>
      </w:pPr>
      <w:r w:rsidRPr="00B418E8">
        <w:rPr>
          <w:rFonts w:ascii="Arial" w:hAnsi="Arial" w:cs="Arial"/>
          <w:sz w:val="20"/>
          <w:szCs w:val="20"/>
        </w:rPr>
        <w:t>This concern can</w:t>
      </w:r>
      <w:r w:rsidR="007D21FE" w:rsidRPr="00B418E8">
        <w:rPr>
          <w:rFonts w:ascii="Arial" w:hAnsi="Arial" w:cs="Arial"/>
          <w:sz w:val="20"/>
          <w:szCs w:val="20"/>
        </w:rPr>
        <w:t xml:space="preserve"> be</w:t>
      </w:r>
      <w:r w:rsidRPr="00B418E8">
        <w:rPr>
          <w:rFonts w:ascii="Arial" w:hAnsi="Arial" w:cs="Arial"/>
          <w:sz w:val="20"/>
          <w:szCs w:val="20"/>
        </w:rPr>
        <w:t xml:space="preserve"> nullified, however, by utilizing only MSCs that have already differentiated in these injections</w:t>
      </w:r>
      <w:r w:rsidR="007D21FE" w:rsidRPr="00B418E8">
        <w:rPr>
          <w:rFonts w:ascii="Arial" w:hAnsi="Arial" w:cs="Arial"/>
          <w:sz w:val="20"/>
          <w:szCs w:val="20"/>
        </w:rPr>
        <w:t>.  Since MSCs have an incredible potential for</w:t>
      </w:r>
      <w:r w:rsidR="00CF6AB3" w:rsidRPr="00B418E8">
        <w:rPr>
          <w:rFonts w:ascii="Arial" w:hAnsi="Arial" w:cs="Arial"/>
          <w:sz w:val="20"/>
          <w:szCs w:val="20"/>
        </w:rPr>
        <w:t xml:space="preserve"> unlimited</w:t>
      </w:r>
      <w:r w:rsidR="007D21FE" w:rsidRPr="00B418E8">
        <w:rPr>
          <w:rFonts w:ascii="Arial" w:hAnsi="Arial" w:cs="Arial"/>
          <w:sz w:val="20"/>
          <w:szCs w:val="20"/>
        </w:rPr>
        <w:t xml:space="preserve"> </w:t>
      </w:r>
      <w:r w:rsidR="007D21FE" w:rsidRPr="00B418E8">
        <w:rPr>
          <w:rFonts w:ascii="Arial" w:hAnsi="Arial" w:cs="Arial"/>
          <w:i/>
          <w:sz w:val="20"/>
          <w:szCs w:val="20"/>
        </w:rPr>
        <w:t>in vitro</w:t>
      </w:r>
      <w:r w:rsidR="007D21FE" w:rsidRPr="00B418E8">
        <w:rPr>
          <w:rFonts w:ascii="Arial" w:hAnsi="Arial" w:cs="Arial"/>
          <w:sz w:val="20"/>
          <w:szCs w:val="20"/>
        </w:rPr>
        <w:t xml:space="preserve"> replication</w:t>
      </w:r>
      <w:r w:rsidR="00CF6AB3" w:rsidRPr="00B418E8">
        <w:rPr>
          <w:rFonts w:ascii="Arial" w:hAnsi="Arial" w:cs="Arial"/>
          <w:sz w:val="20"/>
          <w:szCs w:val="20"/>
        </w:rPr>
        <w:t xml:space="preserve"> [</w:t>
      </w:r>
      <w:r w:rsidR="00612A86">
        <w:rPr>
          <w:rFonts w:ascii="Arial" w:hAnsi="Arial" w:cs="Arial"/>
          <w:sz w:val="20"/>
          <w:szCs w:val="20"/>
        </w:rPr>
        <w:t>7</w:t>
      </w:r>
      <w:r w:rsidR="00CF6AB3" w:rsidRPr="00B418E8">
        <w:rPr>
          <w:rFonts w:ascii="Arial" w:hAnsi="Arial" w:cs="Arial"/>
          <w:sz w:val="20"/>
          <w:szCs w:val="20"/>
        </w:rPr>
        <w:t xml:space="preserve">] they could be used for </w:t>
      </w:r>
      <w:r w:rsidR="00255006" w:rsidRPr="00B418E8">
        <w:rPr>
          <w:rFonts w:ascii="Arial" w:hAnsi="Arial" w:cs="Arial"/>
          <w:sz w:val="20"/>
          <w:szCs w:val="20"/>
        </w:rPr>
        <w:t>autologous chondrocyte transplantation by first providing a large number of cells.  Then, the MSCs could subsequently be differentiated into chondrocytes before implantation.</w:t>
      </w:r>
    </w:p>
    <w:p w:rsidR="001B660A" w:rsidRPr="00B418E8" w:rsidRDefault="001B660A" w:rsidP="00C15639">
      <w:pPr>
        <w:spacing w:after="0" w:line="480" w:lineRule="auto"/>
        <w:ind w:firstLine="360"/>
        <w:rPr>
          <w:rFonts w:ascii="Arial" w:hAnsi="Arial" w:cs="Arial"/>
          <w:sz w:val="20"/>
          <w:szCs w:val="20"/>
        </w:rPr>
      </w:pPr>
      <w:r w:rsidRPr="00B418E8">
        <w:rPr>
          <w:rFonts w:ascii="Arial" w:hAnsi="Arial" w:cs="Arial"/>
          <w:sz w:val="20"/>
          <w:szCs w:val="20"/>
        </w:rPr>
        <w:t xml:space="preserve">A proven “recipe” for MSC differentiation into the </w:t>
      </w:r>
      <w:proofErr w:type="spellStart"/>
      <w:r w:rsidRPr="00B418E8">
        <w:rPr>
          <w:rFonts w:ascii="Arial" w:hAnsi="Arial" w:cs="Arial"/>
          <w:sz w:val="20"/>
          <w:szCs w:val="20"/>
        </w:rPr>
        <w:t>chondrocytic</w:t>
      </w:r>
      <w:proofErr w:type="spellEnd"/>
      <w:r w:rsidRPr="00B418E8">
        <w:rPr>
          <w:rFonts w:ascii="Arial" w:hAnsi="Arial" w:cs="Arial"/>
          <w:sz w:val="20"/>
          <w:szCs w:val="20"/>
        </w:rPr>
        <w:t xml:space="preserve"> lineage is </w:t>
      </w:r>
      <w:proofErr w:type="spellStart"/>
      <w:r w:rsidRPr="00B418E8">
        <w:rPr>
          <w:rFonts w:ascii="Arial" w:hAnsi="Arial" w:cs="Arial"/>
          <w:sz w:val="20"/>
          <w:szCs w:val="20"/>
        </w:rPr>
        <w:t>coculturing</w:t>
      </w:r>
      <w:proofErr w:type="spellEnd"/>
      <w:r w:rsidRPr="00B418E8">
        <w:rPr>
          <w:rFonts w:ascii="Arial" w:hAnsi="Arial" w:cs="Arial"/>
          <w:sz w:val="20"/>
          <w:szCs w:val="20"/>
        </w:rPr>
        <w:t xml:space="preserve"> with the cytokine transforming growth factor beta-1 (TGF-β</w:t>
      </w:r>
      <w:r w:rsidR="00FF1116" w:rsidRPr="00B418E8">
        <w:rPr>
          <w:rFonts w:ascii="Arial" w:hAnsi="Arial" w:cs="Arial"/>
          <w:sz w:val="20"/>
          <w:szCs w:val="20"/>
        </w:rPr>
        <w:t>1) [</w:t>
      </w:r>
      <w:r w:rsidR="00612A86">
        <w:rPr>
          <w:rFonts w:ascii="Arial" w:hAnsi="Arial" w:cs="Arial"/>
          <w:sz w:val="20"/>
          <w:szCs w:val="20"/>
        </w:rPr>
        <w:t>7</w:t>
      </w:r>
      <w:r w:rsidR="00FF1116" w:rsidRPr="00B418E8">
        <w:rPr>
          <w:rFonts w:ascii="Arial" w:hAnsi="Arial" w:cs="Arial"/>
          <w:sz w:val="20"/>
          <w:szCs w:val="20"/>
        </w:rPr>
        <w:t>].</w:t>
      </w:r>
      <w:r w:rsidR="00DA4B4F" w:rsidRPr="00B418E8">
        <w:rPr>
          <w:rFonts w:ascii="Arial" w:hAnsi="Arial" w:cs="Arial"/>
          <w:sz w:val="20"/>
          <w:szCs w:val="20"/>
        </w:rPr>
        <w:t xml:space="preserve">  In addition, c</w:t>
      </w:r>
      <w:r w:rsidR="00DA4B4F" w:rsidRPr="00B418E8">
        <w:rPr>
          <w:rFonts w:ascii="Arial" w:hAnsi="Arial" w:cs="Arial"/>
          <w:sz w:val="20"/>
          <w:szCs w:val="20"/>
        </w:rPr>
        <w:t xml:space="preserve">yclic compressive loading has been proven to induce </w:t>
      </w:r>
      <w:proofErr w:type="spellStart"/>
      <w:r w:rsidR="00DA4B4F" w:rsidRPr="00B418E8">
        <w:rPr>
          <w:rFonts w:ascii="Arial" w:hAnsi="Arial" w:cs="Arial"/>
          <w:sz w:val="20"/>
          <w:szCs w:val="20"/>
        </w:rPr>
        <w:t>chondrogenic</w:t>
      </w:r>
      <w:proofErr w:type="spellEnd"/>
      <w:r w:rsidR="00DA4B4F" w:rsidRPr="00B418E8">
        <w:rPr>
          <w:rFonts w:ascii="Arial" w:hAnsi="Arial" w:cs="Arial"/>
          <w:sz w:val="20"/>
          <w:szCs w:val="20"/>
        </w:rPr>
        <w:t xml:space="preserve"> differentiation in MSCs, as it most naturally mimics the force</w:t>
      </w:r>
      <w:r w:rsidR="00DA4B4F" w:rsidRPr="00B418E8">
        <w:rPr>
          <w:rFonts w:ascii="Arial" w:hAnsi="Arial" w:cs="Arial"/>
          <w:sz w:val="20"/>
          <w:szCs w:val="20"/>
        </w:rPr>
        <w:t>s</w:t>
      </w:r>
      <w:r w:rsidR="00DA4B4F" w:rsidRPr="00B418E8">
        <w:rPr>
          <w:rFonts w:ascii="Arial" w:hAnsi="Arial" w:cs="Arial"/>
          <w:sz w:val="20"/>
          <w:szCs w:val="20"/>
        </w:rPr>
        <w:t xml:space="preserve"> undergone by chondrocytes and stem cells </w:t>
      </w:r>
      <w:r w:rsidR="00DA4B4F" w:rsidRPr="00B418E8">
        <w:rPr>
          <w:rFonts w:ascii="Arial" w:hAnsi="Arial" w:cs="Arial"/>
          <w:i/>
          <w:sz w:val="20"/>
          <w:szCs w:val="20"/>
        </w:rPr>
        <w:t>in vivo</w:t>
      </w:r>
      <w:r w:rsidR="00DA4B4F" w:rsidRPr="00B418E8">
        <w:rPr>
          <w:rFonts w:ascii="Arial" w:hAnsi="Arial" w:cs="Arial"/>
          <w:sz w:val="20"/>
          <w:szCs w:val="20"/>
        </w:rPr>
        <w:t xml:space="preserve"> [</w:t>
      </w:r>
      <w:r w:rsidR="00612A86">
        <w:rPr>
          <w:rFonts w:ascii="Arial" w:hAnsi="Arial" w:cs="Arial"/>
          <w:sz w:val="20"/>
          <w:szCs w:val="20"/>
        </w:rPr>
        <w:t>8</w:t>
      </w:r>
      <w:r w:rsidR="00DA4B4F" w:rsidRPr="00B418E8">
        <w:rPr>
          <w:rFonts w:ascii="Arial" w:hAnsi="Arial" w:cs="Arial"/>
          <w:sz w:val="20"/>
          <w:szCs w:val="20"/>
        </w:rPr>
        <w:t>]</w:t>
      </w:r>
      <w:r w:rsidR="00612A86">
        <w:rPr>
          <w:rFonts w:ascii="Arial" w:hAnsi="Arial" w:cs="Arial"/>
          <w:sz w:val="20"/>
          <w:szCs w:val="20"/>
        </w:rPr>
        <w:t>, [9]</w:t>
      </w:r>
      <w:r w:rsidR="00DA4B4F" w:rsidRPr="00B418E8">
        <w:rPr>
          <w:rFonts w:ascii="Arial" w:hAnsi="Arial" w:cs="Arial"/>
          <w:sz w:val="20"/>
          <w:szCs w:val="20"/>
        </w:rPr>
        <w:t xml:space="preserve"> over other types of mechanical stimulation.</w:t>
      </w:r>
      <w:r w:rsidR="00011E67" w:rsidRPr="00B418E8">
        <w:rPr>
          <w:rFonts w:ascii="Arial" w:hAnsi="Arial" w:cs="Arial"/>
          <w:sz w:val="20"/>
          <w:szCs w:val="20"/>
        </w:rPr>
        <w:t xml:space="preserve">  Huang et al. [</w:t>
      </w:r>
      <w:r w:rsidR="00A40440">
        <w:rPr>
          <w:rFonts w:ascii="Arial" w:hAnsi="Arial" w:cs="Arial"/>
          <w:sz w:val="20"/>
          <w:szCs w:val="20"/>
        </w:rPr>
        <w:t>11</w:t>
      </w:r>
      <w:r w:rsidR="00011E67" w:rsidRPr="00B418E8">
        <w:rPr>
          <w:rFonts w:ascii="Arial" w:hAnsi="Arial" w:cs="Arial"/>
          <w:sz w:val="20"/>
          <w:szCs w:val="20"/>
        </w:rPr>
        <w:t xml:space="preserve">] demonstrated that MSCs cultured with both TGF-β1 </w:t>
      </w:r>
      <w:r w:rsidR="00011E67" w:rsidRPr="00B418E8">
        <w:rPr>
          <w:rFonts w:ascii="Arial" w:hAnsi="Arial" w:cs="Arial"/>
          <w:i/>
          <w:sz w:val="20"/>
          <w:szCs w:val="20"/>
        </w:rPr>
        <w:t xml:space="preserve">and </w:t>
      </w:r>
      <w:r w:rsidR="00011E67" w:rsidRPr="00B418E8">
        <w:rPr>
          <w:rFonts w:ascii="Arial" w:hAnsi="Arial" w:cs="Arial"/>
          <w:sz w:val="20"/>
          <w:szCs w:val="20"/>
        </w:rPr>
        <w:t>compressive mechanical stimulation</w:t>
      </w:r>
      <w:r w:rsidR="003B7301" w:rsidRPr="00B418E8">
        <w:rPr>
          <w:rFonts w:ascii="Arial" w:hAnsi="Arial" w:cs="Arial"/>
          <w:sz w:val="20"/>
          <w:szCs w:val="20"/>
        </w:rPr>
        <w:t xml:space="preserve"> showed a greater expression of collagen II and </w:t>
      </w:r>
      <w:proofErr w:type="spellStart"/>
      <w:r w:rsidR="003B7301" w:rsidRPr="00B418E8">
        <w:rPr>
          <w:rFonts w:ascii="Arial" w:hAnsi="Arial" w:cs="Arial"/>
          <w:sz w:val="20"/>
          <w:szCs w:val="20"/>
        </w:rPr>
        <w:t>aggrecan</w:t>
      </w:r>
      <w:proofErr w:type="spellEnd"/>
      <w:r w:rsidR="003B7301" w:rsidRPr="00B418E8">
        <w:rPr>
          <w:rFonts w:ascii="Arial" w:hAnsi="Arial" w:cs="Arial"/>
          <w:sz w:val="20"/>
          <w:szCs w:val="20"/>
        </w:rPr>
        <w:t xml:space="preserve"> over cultures differentiated with just one of the methods.</w:t>
      </w:r>
    </w:p>
    <w:p w:rsidR="003B7301" w:rsidRPr="00B418E8" w:rsidRDefault="003B7301" w:rsidP="00C15639">
      <w:pPr>
        <w:spacing w:after="0" w:line="480" w:lineRule="auto"/>
        <w:ind w:firstLine="360"/>
        <w:rPr>
          <w:rFonts w:ascii="Arial" w:hAnsi="Arial" w:cs="Arial"/>
          <w:sz w:val="20"/>
          <w:szCs w:val="20"/>
        </w:rPr>
      </w:pPr>
      <w:r w:rsidRPr="00B418E8">
        <w:rPr>
          <w:rFonts w:ascii="Arial" w:hAnsi="Arial" w:cs="Arial"/>
          <w:sz w:val="20"/>
          <w:szCs w:val="20"/>
        </w:rPr>
        <w:t>The goal of this procedure is to determine the regenerative effect when chondrocyte-differentiated MSCs are injected into the site of a cartilage defect.</w:t>
      </w:r>
      <w:r w:rsidR="001334EE" w:rsidRPr="00B418E8">
        <w:rPr>
          <w:rFonts w:ascii="Arial" w:hAnsi="Arial" w:cs="Arial"/>
          <w:sz w:val="20"/>
          <w:szCs w:val="20"/>
        </w:rPr>
        <w:t xml:space="preserve">  The factors used to induce differentiation will </w:t>
      </w:r>
      <w:r w:rsidR="00684E88">
        <w:rPr>
          <w:rFonts w:ascii="Arial" w:hAnsi="Arial" w:cs="Arial"/>
          <w:sz w:val="20"/>
          <w:szCs w:val="20"/>
        </w:rPr>
        <w:t xml:space="preserve">include </w:t>
      </w:r>
      <w:r w:rsidR="001334EE" w:rsidRPr="00B418E8">
        <w:rPr>
          <w:rFonts w:ascii="Arial" w:hAnsi="Arial" w:cs="Arial"/>
          <w:sz w:val="20"/>
          <w:szCs w:val="20"/>
        </w:rPr>
        <w:t>both chemical and mechanical stimulation.</w:t>
      </w:r>
    </w:p>
    <w:p w:rsidR="00764066" w:rsidRPr="00B418E8" w:rsidRDefault="00764066" w:rsidP="006D5390">
      <w:pPr>
        <w:spacing w:after="0" w:line="480" w:lineRule="auto"/>
        <w:rPr>
          <w:rFonts w:ascii="Arial" w:hAnsi="Arial" w:cs="Arial"/>
          <w:sz w:val="20"/>
          <w:szCs w:val="20"/>
        </w:rPr>
      </w:pPr>
    </w:p>
    <w:p w:rsidR="00764066" w:rsidRPr="00B418E8" w:rsidRDefault="00764066" w:rsidP="006D5390">
      <w:pPr>
        <w:spacing w:after="0" w:line="480" w:lineRule="auto"/>
        <w:rPr>
          <w:rFonts w:ascii="Arial" w:hAnsi="Arial" w:cs="Arial"/>
          <w:b/>
          <w:sz w:val="20"/>
          <w:szCs w:val="20"/>
        </w:rPr>
      </w:pPr>
      <w:r w:rsidRPr="00B418E8">
        <w:rPr>
          <w:rFonts w:ascii="Arial" w:hAnsi="Arial" w:cs="Arial"/>
          <w:b/>
          <w:sz w:val="20"/>
          <w:szCs w:val="20"/>
        </w:rPr>
        <w:t>MATERIALS</w:t>
      </w:r>
    </w:p>
    <w:p w:rsidR="00084749" w:rsidRPr="00B418E8" w:rsidRDefault="00084749" w:rsidP="006D5390">
      <w:pPr>
        <w:spacing w:after="0" w:line="480" w:lineRule="auto"/>
        <w:rPr>
          <w:rFonts w:ascii="Arial" w:hAnsi="Arial" w:cs="Arial"/>
          <w:i/>
          <w:sz w:val="20"/>
          <w:szCs w:val="20"/>
        </w:rPr>
      </w:pPr>
      <w:r w:rsidRPr="00B418E8">
        <w:rPr>
          <w:rFonts w:ascii="Arial" w:hAnsi="Arial" w:cs="Arial"/>
          <w:i/>
          <w:sz w:val="20"/>
          <w:szCs w:val="20"/>
        </w:rPr>
        <w:t>Bioreactor</w:t>
      </w:r>
    </w:p>
    <w:p w:rsidR="00EF5D3E" w:rsidRPr="00B418E8" w:rsidRDefault="006B0EB0" w:rsidP="006D5390">
      <w:pPr>
        <w:spacing w:after="0" w:line="480" w:lineRule="auto"/>
        <w:ind w:firstLine="720"/>
        <w:rPr>
          <w:rFonts w:ascii="Arial" w:hAnsi="Arial" w:cs="Arial"/>
          <w:sz w:val="20"/>
          <w:szCs w:val="20"/>
        </w:rPr>
      </w:pPr>
      <w:r w:rsidRPr="00B418E8">
        <w:rPr>
          <w:rFonts w:ascii="Arial" w:hAnsi="Arial" w:cs="Arial"/>
          <w:sz w:val="20"/>
          <w:szCs w:val="20"/>
        </w:rPr>
        <w:t>A</w:t>
      </w:r>
      <w:r w:rsidR="000A2170" w:rsidRPr="00B418E8">
        <w:rPr>
          <w:rFonts w:ascii="Arial" w:hAnsi="Arial" w:cs="Arial"/>
          <w:sz w:val="20"/>
          <w:szCs w:val="20"/>
        </w:rPr>
        <w:t xml:space="preserve"> bioreactor</w:t>
      </w:r>
      <w:r w:rsidR="002F16B0">
        <w:rPr>
          <w:rFonts w:ascii="Arial" w:hAnsi="Arial" w:cs="Arial"/>
          <w:sz w:val="20"/>
          <w:szCs w:val="20"/>
        </w:rPr>
        <w:t xml:space="preserve"> (Fig. 1)</w:t>
      </w:r>
      <w:r w:rsidR="000A2170" w:rsidRPr="00B418E8">
        <w:rPr>
          <w:rFonts w:ascii="Arial" w:hAnsi="Arial" w:cs="Arial"/>
          <w:sz w:val="20"/>
          <w:szCs w:val="20"/>
        </w:rPr>
        <w:t xml:space="preserve"> capable of applying cyclic compressive loading</w:t>
      </w:r>
      <w:r w:rsidR="00EF5D3E" w:rsidRPr="00B418E8">
        <w:rPr>
          <w:rFonts w:ascii="Arial" w:hAnsi="Arial" w:cs="Arial"/>
          <w:sz w:val="20"/>
          <w:szCs w:val="20"/>
        </w:rPr>
        <w:t xml:space="preserve"> is required.</w:t>
      </w:r>
      <w:r w:rsidRPr="00B418E8">
        <w:rPr>
          <w:rFonts w:ascii="Arial" w:hAnsi="Arial" w:cs="Arial"/>
          <w:sz w:val="20"/>
          <w:szCs w:val="20"/>
        </w:rPr>
        <w:t xml:space="preserve">  </w:t>
      </w:r>
      <w:r w:rsidR="00EF5D3E" w:rsidRPr="00B418E8">
        <w:rPr>
          <w:rFonts w:ascii="Arial" w:hAnsi="Arial" w:cs="Arial"/>
          <w:sz w:val="20"/>
          <w:szCs w:val="20"/>
        </w:rPr>
        <w:t xml:space="preserve">The design itself is simple and needs to be little more than </w:t>
      </w:r>
      <w:r w:rsidR="00C254BA" w:rsidRPr="00B418E8">
        <w:rPr>
          <w:rFonts w:ascii="Arial" w:hAnsi="Arial" w:cs="Arial"/>
          <w:sz w:val="20"/>
          <w:szCs w:val="20"/>
        </w:rPr>
        <w:t>a modified cell culture plate.  The compressive force will be provided by a piston.</w:t>
      </w:r>
      <w:r w:rsidR="0031745E" w:rsidRPr="00B418E8">
        <w:rPr>
          <w:rFonts w:ascii="Arial" w:hAnsi="Arial" w:cs="Arial"/>
          <w:sz w:val="20"/>
          <w:szCs w:val="20"/>
        </w:rPr>
        <w:t xml:space="preserve">  The cells themselves will be cultured in small round wells.  Pressure will be applied to the cells from the piston through cylindrical 2% weight </w:t>
      </w:r>
      <w:proofErr w:type="spellStart"/>
      <w:r w:rsidR="0031745E" w:rsidRPr="00B418E8">
        <w:rPr>
          <w:rFonts w:ascii="Arial" w:hAnsi="Arial" w:cs="Arial"/>
          <w:sz w:val="20"/>
          <w:szCs w:val="20"/>
        </w:rPr>
        <w:t>agarose</w:t>
      </w:r>
      <w:proofErr w:type="spellEnd"/>
      <w:r w:rsidR="0031745E" w:rsidRPr="00B418E8">
        <w:rPr>
          <w:rFonts w:ascii="Arial" w:hAnsi="Arial" w:cs="Arial"/>
          <w:sz w:val="20"/>
          <w:szCs w:val="20"/>
        </w:rPr>
        <w:t xml:space="preserve"> gels.  The cylindrical gels themselves will be projections from a sheet of the same material, which serves as a plane of connection between the cylinders and the piston.</w:t>
      </w:r>
    </w:p>
    <w:p w:rsidR="00375E7E" w:rsidRPr="00B418E8" w:rsidRDefault="00375E7E" w:rsidP="006D5390">
      <w:pPr>
        <w:spacing w:after="0" w:line="480" w:lineRule="auto"/>
        <w:rPr>
          <w:rFonts w:ascii="Arial" w:hAnsi="Arial" w:cs="Arial"/>
          <w:sz w:val="20"/>
          <w:szCs w:val="20"/>
        </w:rPr>
      </w:pPr>
    </w:p>
    <w:p w:rsidR="00375E7E" w:rsidRPr="00B418E8" w:rsidRDefault="002F16B0" w:rsidP="006D5390">
      <w:pPr>
        <w:spacing w:after="0" w:line="480" w:lineRule="auto"/>
        <w:jc w:val="center"/>
        <w:rPr>
          <w:rFonts w:ascii="Arial" w:hAnsi="Arial" w:cs="Arial"/>
          <w:sz w:val="20"/>
          <w:szCs w:val="20"/>
        </w:rPr>
      </w:pPr>
      <w:r w:rsidRPr="002F16B0">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75D565B4" wp14:editId="16AB911F">
                <wp:simplePos x="0" y="0"/>
                <wp:positionH relativeFrom="column">
                  <wp:posOffset>3478530</wp:posOffset>
                </wp:positionH>
                <wp:positionV relativeFrom="paragraph">
                  <wp:posOffset>1387475</wp:posOffset>
                </wp:positionV>
                <wp:extent cx="2374265" cy="140398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F16B0" w:rsidRPr="002F16B0" w:rsidRDefault="002F16B0" w:rsidP="002F16B0">
                            <w:pPr>
                              <w:rPr>
                                <w:rFonts w:ascii="Arial" w:hAnsi="Arial" w:cs="Arial"/>
                                <w:sz w:val="16"/>
                                <w:szCs w:val="16"/>
                              </w:rPr>
                            </w:pPr>
                            <w:r w:rsidRPr="002F16B0">
                              <w:rPr>
                                <w:rFonts w:ascii="Arial" w:hAnsi="Arial" w:cs="Arial"/>
                                <w:sz w:val="16"/>
                                <w:szCs w:val="16"/>
                              </w:rPr>
                              <w:t>Figure 1: Novel design for a compressive loading bioreactor.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9pt;margin-top:109.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bIQIAABw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" stroked="f">
                <v:textbox style="mso-fit-shape-to-text:t">
                  <w:txbxContent>
                    <w:p w:rsidR="002F16B0" w:rsidRPr="002F16B0" w:rsidRDefault="002F16B0" w:rsidP="002F16B0">
                      <w:pPr>
                        <w:rPr>
                          <w:rFonts w:ascii="Arial" w:hAnsi="Arial" w:cs="Arial"/>
                          <w:sz w:val="16"/>
                          <w:szCs w:val="16"/>
                        </w:rPr>
                      </w:pPr>
                      <w:r w:rsidRPr="002F16B0">
                        <w:rPr>
                          <w:rFonts w:ascii="Arial" w:hAnsi="Arial" w:cs="Arial"/>
                          <w:sz w:val="16"/>
                          <w:szCs w:val="16"/>
                        </w:rPr>
                        <w:t>Figure 1: Novel design for a compressive loading bioreactor.</w:t>
                      </w:r>
                    </w:p>
                  </w:txbxContent>
                </v:textbox>
              </v:shape>
            </w:pict>
          </mc:Fallback>
        </mc:AlternateContent>
      </w:r>
      <w:r w:rsidR="006D5390" w:rsidRPr="00B418E8">
        <w:rPr>
          <w:rFonts w:ascii="Arial" w:hAnsi="Arial" w:cs="Arial"/>
          <w:sz w:val="20"/>
          <w:szCs w:val="20"/>
        </w:rPr>
        <w:object w:dxaOrig="4320"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5pt;height:398.25pt" o:ole="">
            <v:imagedata r:id="rId7" o:title="" croptop="10734f" cropleft="9785f" cropright="36409f"/>
          </v:shape>
          <o:OLEObject Type="Embed" ProgID="AutoCAD.Drawing.18" ShapeID="_x0000_i1025" DrawAspect="Content" ObjectID="_1417346947" r:id="rId8"/>
        </w:object>
      </w:r>
    </w:p>
    <w:p w:rsidR="00D86717" w:rsidRPr="00B418E8" w:rsidRDefault="00D86717" w:rsidP="006D5390">
      <w:pPr>
        <w:spacing w:after="0" w:line="480" w:lineRule="auto"/>
        <w:rPr>
          <w:rFonts w:ascii="Arial" w:hAnsi="Arial" w:cs="Arial"/>
          <w:sz w:val="20"/>
          <w:szCs w:val="20"/>
        </w:rPr>
      </w:pPr>
      <w:r w:rsidRPr="00B418E8">
        <w:rPr>
          <w:rFonts w:ascii="Arial" w:hAnsi="Arial" w:cs="Arial"/>
          <w:sz w:val="20"/>
          <w:szCs w:val="20"/>
        </w:rPr>
        <w:tab/>
      </w:r>
      <w:r w:rsidR="002F16B0" w:rsidRPr="00B418E8">
        <w:rPr>
          <w:rFonts w:ascii="Arial" w:hAnsi="Arial" w:cs="Arial"/>
          <w:sz w:val="20"/>
          <w:szCs w:val="20"/>
        </w:rPr>
        <w:t xml:space="preserve"> </w:t>
      </w:r>
      <w:r w:rsidRPr="00B418E8">
        <w:rPr>
          <w:rFonts w:ascii="Arial" w:hAnsi="Arial" w:cs="Arial"/>
          <w:sz w:val="20"/>
          <w:szCs w:val="20"/>
        </w:rPr>
        <w:t xml:space="preserve">The use of 2% </w:t>
      </w:r>
      <w:r w:rsidR="0019008A" w:rsidRPr="00B418E8">
        <w:rPr>
          <w:rFonts w:ascii="Arial" w:hAnsi="Arial" w:cs="Arial"/>
          <w:sz w:val="20"/>
          <w:szCs w:val="20"/>
        </w:rPr>
        <w:t xml:space="preserve">weight </w:t>
      </w:r>
      <w:proofErr w:type="spellStart"/>
      <w:r w:rsidR="0019008A" w:rsidRPr="00B418E8">
        <w:rPr>
          <w:rFonts w:ascii="Arial" w:hAnsi="Arial" w:cs="Arial"/>
          <w:sz w:val="20"/>
          <w:szCs w:val="20"/>
        </w:rPr>
        <w:t>agarose</w:t>
      </w:r>
      <w:proofErr w:type="spellEnd"/>
      <w:r w:rsidR="0019008A" w:rsidRPr="00B418E8">
        <w:rPr>
          <w:rFonts w:ascii="Arial" w:hAnsi="Arial" w:cs="Arial"/>
          <w:sz w:val="20"/>
          <w:szCs w:val="20"/>
        </w:rPr>
        <w:t xml:space="preserve"> gel for compressive stimulation comes as the optimized material from a study by Waldman et al. [</w:t>
      </w:r>
      <w:r w:rsidR="00A40440">
        <w:rPr>
          <w:rFonts w:ascii="Arial" w:hAnsi="Arial" w:cs="Arial"/>
          <w:sz w:val="20"/>
          <w:szCs w:val="20"/>
        </w:rPr>
        <w:t>10</w:t>
      </w:r>
      <w:r w:rsidR="0019008A" w:rsidRPr="00B418E8">
        <w:rPr>
          <w:rFonts w:ascii="Arial" w:hAnsi="Arial" w:cs="Arial"/>
          <w:sz w:val="20"/>
          <w:szCs w:val="20"/>
        </w:rPr>
        <w:t>].</w:t>
      </w:r>
      <w:r w:rsidR="00477779" w:rsidRPr="00B418E8">
        <w:rPr>
          <w:rFonts w:ascii="Arial" w:hAnsi="Arial" w:cs="Arial"/>
          <w:sz w:val="20"/>
          <w:szCs w:val="20"/>
        </w:rPr>
        <w:t xml:space="preserve">  The piston will compress with a sinusoidal loading pattern at 1 Hz at 10% strain.  The compression cycles will occur during a single four hour block</w:t>
      </w:r>
      <w:r w:rsidR="0084184E" w:rsidRPr="00B418E8">
        <w:rPr>
          <w:rFonts w:ascii="Arial" w:hAnsi="Arial" w:cs="Arial"/>
          <w:sz w:val="20"/>
          <w:szCs w:val="20"/>
        </w:rPr>
        <w:t xml:space="preserve"> every day for 14 days [</w:t>
      </w:r>
      <w:r w:rsidR="00A40440">
        <w:rPr>
          <w:rFonts w:ascii="Arial" w:hAnsi="Arial" w:cs="Arial"/>
          <w:sz w:val="20"/>
          <w:szCs w:val="20"/>
        </w:rPr>
        <w:t>11</w:t>
      </w:r>
      <w:r w:rsidR="0084184E" w:rsidRPr="00B418E8">
        <w:rPr>
          <w:rFonts w:ascii="Arial" w:hAnsi="Arial" w:cs="Arial"/>
          <w:sz w:val="20"/>
          <w:szCs w:val="20"/>
        </w:rPr>
        <w:t>].</w:t>
      </w:r>
    </w:p>
    <w:p w:rsidR="00084749" w:rsidRPr="00B418E8" w:rsidRDefault="00084749" w:rsidP="006D5390">
      <w:pPr>
        <w:spacing w:after="0" w:line="480" w:lineRule="auto"/>
        <w:rPr>
          <w:rFonts w:ascii="Arial" w:hAnsi="Arial" w:cs="Arial"/>
          <w:sz w:val="20"/>
          <w:szCs w:val="20"/>
        </w:rPr>
      </w:pPr>
    </w:p>
    <w:p w:rsidR="00084749" w:rsidRPr="00B418E8" w:rsidRDefault="00084749" w:rsidP="006D5390">
      <w:pPr>
        <w:spacing w:after="0" w:line="480" w:lineRule="auto"/>
        <w:rPr>
          <w:rFonts w:ascii="Arial" w:hAnsi="Arial" w:cs="Arial"/>
          <w:sz w:val="20"/>
          <w:szCs w:val="20"/>
        </w:rPr>
      </w:pPr>
      <w:r w:rsidRPr="00B418E8">
        <w:rPr>
          <w:rFonts w:ascii="Arial" w:hAnsi="Arial" w:cs="Arial"/>
          <w:i/>
          <w:sz w:val="20"/>
          <w:szCs w:val="20"/>
        </w:rPr>
        <w:t>Animal Models</w:t>
      </w:r>
    </w:p>
    <w:p w:rsidR="00084749" w:rsidRPr="00B418E8" w:rsidRDefault="00084749" w:rsidP="006D5390">
      <w:pPr>
        <w:spacing w:after="0" w:line="480" w:lineRule="auto"/>
        <w:rPr>
          <w:rFonts w:ascii="Arial" w:hAnsi="Arial" w:cs="Arial"/>
          <w:sz w:val="20"/>
          <w:szCs w:val="20"/>
        </w:rPr>
      </w:pPr>
      <w:r w:rsidRPr="00B418E8">
        <w:rPr>
          <w:rFonts w:ascii="Arial" w:hAnsi="Arial" w:cs="Arial"/>
          <w:sz w:val="20"/>
          <w:szCs w:val="20"/>
        </w:rPr>
        <w:tab/>
        <w:t>New Zealand white rabbits</w:t>
      </w:r>
      <w:r w:rsidR="0066730F" w:rsidRPr="00B418E8">
        <w:rPr>
          <w:rFonts w:ascii="Arial" w:hAnsi="Arial" w:cs="Arial"/>
          <w:sz w:val="20"/>
          <w:szCs w:val="20"/>
        </w:rPr>
        <w:t xml:space="preserve"> from the animal model supplier Charles River</w:t>
      </w:r>
      <w:r w:rsidRPr="00B418E8">
        <w:rPr>
          <w:rFonts w:ascii="Arial" w:hAnsi="Arial" w:cs="Arial"/>
          <w:sz w:val="20"/>
          <w:szCs w:val="20"/>
        </w:rPr>
        <w:t xml:space="preserve"> will be used for this procedure.  The species and breed wer</w:t>
      </w:r>
      <w:r w:rsidR="00C21C0A">
        <w:rPr>
          <w:rFonts w:ascii="Arial" w:hAnsi="Arial" w:cs="Arial"/>
          <w:sz w:val="20"/>
          <w:szCs w:val="20"/>
        </w:rPr>
        <w:t xml:space="preserve">e chosen as ideal based on the following </w:t>
      </w:r>
      <w:r w:rsidRPr="00B418E8">
        <w:rPr>
          <w:rFonts w:ascii="Arial" w:hAnsi="Arial" w:cs="Arial"/>
          <w:sz w:val="20"/>
          <w:szCs w:val="20"/>
        </w:rPr>
        <w:t>criteria.</w:t>
      </w:r>
    </w:p>
    <w:p w:rsidR="00084749" w:rsidRPr="00B418E8" w:rsidRDefault="00061760" w:rsidP="006D5390">
      <w:pPr>
        <w:spacing w:after="0" w:line="480" w:lineRule="auto"/>
        <w:rPr>
          <w:rFonts w:ascii="Arial" w:hAnsi="Arial" w:cs="Arial"/>
          <w:sz w:val="20"/>
          <w:szCs w:val="20"/>
        </w:rPr>
      </w:pPr>
      <w:r w:rsidRPr="00B418E8">
        <w:rPr>
          <w:rFonts w:ascii="Arial" w:hAnsi="Arial" w:cs="Arial"/>
          <w:sz w:val="20"/>
          <w:szCs w:val="20"/>
        </w:rPr>
        <w:tab/>
        <w:t>Rabbits are often chosen as models for cartilage regeneration-based studies; New Zealand white rabbits, in particular, have a layer of cartilage thicker than any other breed of rabbit, making it ideal for studies in which osteoarthritis must be induced.</w:t>
      </w:r>
      <w:r w:rsidR="00270759" w:rsidRPr="00B418E8">
        <w:rPr>
          <w:rFonts w:ascii="Arial" w:hAnsi="Arial" w:cs="Arial"/>
          <w:sz w:val="20"/>
          <w:szCs w:val="20"/>
        </w:rPr>
        <w:t xml:space="preserve">  In addition, rabbits can also come in </w:t>
      </w:r>
      <w:proofErr w:type="spellStart"/>
      <w:r w:rsidR="00270759" w:rsidRPr="00B418E8">
        <w:rPr>
          <w:rFonts w:ascii="Arial" w:hAnsi="Arial" w:cs="Arial"/>
          <w:sz w:val="20"/>
          <w:szCs w:val="20"/>
        </w:rPr>
        <w:t>genotypically</w:t>
      </w:r>
      <w:proofErr w:type="spellEnd"/>
      <w:r w:rsidR="00270759" w:rsidRPr="00B418E8">
        <w:rPr>
          <w:rFonts w:ascii="Arial" w:hAnsi="Arial" w:cs="Arial"/>
          <w:sz w:val="20"/>
          <w:szCs w:val="20"/>
        </w:rPr>
        <w:t xml:space="preserve"> similar </w:t>
      </w:r>
      <w:r w:rsidR="00270759" w:rsidRPr="00B418E8">
        <w:rPr>
          <w:rFonts w:ascii="Arial" w:hAnsi="Arial" w:cs="Arial"/>
          <w:sz w:val="20"/>
          <w:szCs w:val="20"/>
        </w:rPr>
        <w:lastRenderedPageBreak/>
        <w:t xml:space="preserve">groups, </w:t>
      </w:r>
      <w:r w:rsidR="00A2731B" w:rsidRPr="00B418E8">
        <w:rPr>
          <w:rFonts w:ascii="Arial" w:hAnsi="Arial" w:cs="Arial"/>
          <w:sz w:val="20"/>
          <w:szCs w:val="20"/>
        </w:rPr>
        <w:t>a boon to</w:t>
      </w:r>
      <w:r w:rsidR="00270759" w:rsidRPr="00B418E8">
        <w:rPr>
          <w:rFonts w:ascii="Arial" w:hAnsi="Arial" w:cs="Arial"/>
          <w:sz w:val="20"/>
          <w:szCs w:val="20"/>
        </w:rPr>
        <w:t xml:space="preserve"> reducing the overall variability of the experiment.</w:t>
      </w:r>
      <w:r w:rsidR="00D32118" w:rsidRPr="00B418E8">
        <w:rPr>
          <w:rFonts w:ascii="Arial" w:hAnsi="Arial" w:cs="Arial"/>
          <w:sz w:val="20"/>
          <w:szCs w:val="20"/>
        </w:rPr>
        <w:t xml:space="preserve">  Furthermore, rabbits are small, easy to care for, and represent a relatively inexpensive animal model, allowing for t</w:t>
      </w:r>
      <w:r w:rsidR="00B61430" w:rsidRPr="00B418E8">
        <w:rPr>
          <w:rFonts w:ascii="Arial" w:hAnsi="Arial" w:cs="Arial"/>
          <w:sz w:val="20"/>
          <w:szCs w:val="20"/>
        </w:rPr>
        <w:t>heir testing i</w:t>
      </w:r>
      <w:r w:rsidR="000A6DEF" w:rsidRPr="00B418E8">
        <w:rPr>
          <w:rFonts w:ascii="Arial" w:hAnsi="Arial" w:cs="Arial"/>
          <w:sz w:val="20"/>
          <w:szCs w:val="20"/>
        </w:rPr>
        <w:t>n high numbers [</w:t>
      </w:r>
      <w:r w:rsidR="00612A86">
        <w:rPr>
          <w:rFonts w:ascii="Arial" w:hAnsi="Arial" w:cs="Arial"/>
          <w:sz w:val="20"/>
          <w:szCs w:val="20"/>
        </w:rPr>
        <w:t>12</w:t>
      </w:r>
      <w:r w:rsidR="0066730F" w:rsidRPr="00B418E8">
        <w:rPr>
          <w:rFonts w:ascii="Arial" w:hAnsi="Arial" w:cs="Arial"/>
          <w:sz w:val="20"/>
          <w:szCs w:val="20"/>
        </w:rPr>
        <w:t xml:space="preserve">].  </w:t>
      </w:r>
      <w:r w:rsidR="000A6DEF" w:rsidRPr="00B418E8">
        <w:rPr>
          <w:rFonts w:ascii="Arial" w:hAnsi="Arial" w:cs="Arial"/>
          <w:sz w:val="20"/>
          <w:szCs w:val="20"/>
        </w:rPr>
        <w:t xml:space="preserve">The rabbits will be </w:t>
      </w:r>
      <w:r w:rsidR="0066730F" w:rsidRPr="00B418E8">
        <w:rPr>
          <w:rFonts w:ascii="Arial" w:hAnsi="Arial" w:cs="Arial"/>
          <w:sz w:val="20"/>
          <w:szCs w:val="20"/>
        </w:rPr>
        <w:t>from</w:t>
      </w:r>
      <w:r w:rsidR="000A6DEF" w:rsidRPr="00B418E8">
        <w:rPr>
          <w:rFonts w:ascii="Arial" w:hAnsi="Arial" w:cs="Arial"/>
          <w:sz w:val="20"/>
          <w:szCs w:val="20"/>
        </w:rPr>
        <w:t xml:space="preserve"> of 6 months to 1 year in age</w:t>
      </w:r>
      <w:r w:rsidR="0066730F" w:rsidRPr="00B418E8">
        <w:rPr>
          <w:rFonts w:ascii="Arial" w:hAnsi="Arial" w:cs="Arial"/>
          <w:sz w:val="20"/>
          <w:szCs w:val="20"/>
        </w:rPr>
        <w:t>.  The number of rabbits to be used in this study will be determined by power analysis to provide for statistical significance.</w:t>
      </w:r>
    </w:p>
    <w:p w:rsidR="0090365A" w:rsidRPr="00B418E8" w:rsidRDefault="00F84839" w:rsidP="00612A86">
      <w:pPr>
        <w:spacing w:after="0" w:line="480" w:lineRule="auto"/>
        <w:ind w:firstLine="720"/>
        <w:rPr>
          <w:rFonts w:ascii="Arial" w:hAnsi="Arial" w:cs="Arial"/>
          <w:sz w:val="20"/>
          <w:szCs w:val="20"/>
        </w:rPr>
      </w:pPr>
      <w:r w:rsidRPr="00B418E8">
        <w:rPr>
          <w:rFonts w:ascii="Arial" w:hAnsi="Arial" w:cs="Arial"/>
          <w:sz w:val="20"/>
          <w:szCs w:val="20"/>
        </w:rPr>
        <w:t>The rabbits will be kept in open enclosures with approximately 0.45m</w:t>
      </w:r>
      <w:r w:rsidRPr="00B418E8">
        <w:rPr>
          <w:rFonts w:ascii="Arial" w:hAnsi="Arial" w:cs="Arial"/>
          <w:sz w:val="20"/>
          <w:szCs w:val="20"/>
          <w:vertAlign w:val="superscript"/>
        </w:rPr>
        <w:t>2</w:t>
      </w:r>
      <w:r w:rsidRPr="00B418E8">
        <w:rPr>
          <w:rFonts w:ascii="Arial" w:hAnsi="Arial" w:cs="Arial"/>
          <w:sz w:val="20"/>
          <w:szCs w:val="20"/>
        </w:rPr>
        <w:t xml:space="preserve"> per rabbit.  The floor will be made of sealed vinyl over a concrete floor for easy cleaning but with a several-inch layer of sawdust to prevent rabbit injury (i.e. sore hocks) and encourage natural behaviors like digging, shredding, and foraging.</w:t>
      </w:r>
      <w:r w:rsidR="006B01E1" w:rsidRPr="00B418E8">
        <w:rPr>
          <w:rFonts w:ascii="Arial" w:hAnsi="Arial" w:cs="Arial"/>
          <w:sz w:val="20"/>
          <w:szCs w:val="20"/>
        </w:rPr>
        <w:t xml:space="preserve">  Structural elements in the pens will include slightly raised shelf-like areas approximately 6 inches above the floor in certain areas of the pen.  In addition to the space under these shelves, refuges (small box-like containers open on one or both sides) will be provided.  These additions are designed to reflect rabbit behavior, including using height to scan the environment and having secluded places to hide when stressed.</w:t>
      </w:r>
      <w:r w:rsidR="000831E4" w:rsidRPr="00B418E8">
        <w:rPr>
          <w:rFonts w:ascii="Arial" w:hAnsi="Arial" w:cs="Arial"/>
          <w:sz w:val="20"/>
          <w:szCs w:val="20"/>
        </w:rPr>
        <w:t xml:space="preserve">  Several smaller pens for individual rabbits will be kept to one side, sharing a cage wall with the main pen.  These enclosures will be where rabbits returning from surgery will stay for several hours.  The purpose of sharing an open cage wall</w:t>
      </w:r>
      <w:r w:rsidR="003C1DDC" w:rsidRPr="00B418E8">
        <w:rPr>
          <w:rFonts w:ascii="Arial" w:hAnsi="Arial" w:cs="Arial"/>
          <w:sz w:val="20"/>
          <w:szCs w:val="20"/>
        </w:rPr>
        <w:t xml:space="preserve"> between the pens</w:t>
      </w:r>
      <w:r w:rsidR="000831E4" w:rsidRPr="00B418E8">
        <w:rPr>
          <w:rFonts w:ascii="Arial" w:hAnsi="Arial" w:cs="Arial"/>
          <w:sz w:val="20"/>
          <w:szCs w:val="20"/>
        </w:rPr>
        <w:t xml:space="preserve"> is so that the recovering rabbit is not isolated from the rest of the group and still experience</w:t>
      </w:r>
      <w:r w:rsidR="00261578" w:rsidRPr="00B418E8">
        <w:rPr>
          <w:rFonts w:ascii="Arial" w:hAnsi="Arial" w:cs="Arial"/>
          <w:sz w:val="20"/>
          <w:szCs w:val="20"/>
        </w:rPr>
        <w:t>s</w:t>
      </w:r>
      <w:r w:rsidR="000831E4" w:rsidRPr="00B418E8">
        <w:rPr>
          <w:rFonts w:ascii="Arial" w:hAnsi="Arial" w:cs="Arial"/>
          <w:sz w:val="20"/>
          <w:szCs w:val="20"/>
        </w:rPr>
        <w:t xml:space="preserve"> the same visual, auditory, and olfactory stimulations </w:t>
      </w:r>
      <w:r w:rsidR="00AD0EAE" w:rsidRPr="00B418E8">
        <w:rPr>
          <w:rFonts w:ascii="Arial" w:hAnsi="Arial" w:cs="Arial"/>
          <w:sz w:val="20"/>
          <w:szCs w:val="20"/>
        </w:rPr>
        <w:t>as before.</w:t>
      </w:r>
      <w:r w:rsidR="00612A86">
        <w:rPr>
          <w:rFonts w:ascii="Arial" w:hAnsi="Arial" w:cs="Arial"/>
          <w:sz w:val="20"/>
          <w:szCs w:val="20"/>
        </w:rPr>
        <w:t xml:space="preserve">  </w:t>
      </w:r>
      <w:r w:rsidR="007C14D3">
        <w:rPr>
          <w:rFonts w:ascii="Arial" w:hAnsi="Arial" w:cs="Arial"/>
          <w:sz w:val="20"/>
          <w:szCs w:val="20"/>
        </w:rPr>
        <w:t xml:space="preserve">Post-operative rabbits will not be immobilized in any way, as this could affect healing results.  </w:t>
      </w:r>
      <w:r w:rsidR="0090365A" w:rsidRPr="00B418E8">
        <w:rPr>
          <w:rFonts w:ascii="Arial" w:hAnsi="Arial" w:cs="Arial"/>
          <w:sz w:val="20"/>
          <w:szCs w:val="20"/>
        </w:rPr>
        <w:t>The rabbits will be fed a diet of mostly pellet food supple</w:t>
      </w:r>
      <w:r w:rsidR="000623DB" w:rsidRPr="00B418E8">
        <w:rPr>
          <w:rFonts w:ascii="Arial" w:hAnsi="Arial" w:cs="Arial"/>
          <w:sz w:val="20"/>
          <w:szCs w:val="20"/>
        </w:rPr>
        <w:t>mented by hay, grass, and fruit [</w:t>
      </w:r>
      <w:r w:rsidR="00612A86">
        <w:rPr>
          <w:rFonts w:ascii="Arial" w:hAnsi="Arial" w:cs="Arial"/>
          <w:sz w:val="20"/>
          <w:szCs w:val="20"/>
        </w:rPr>
        <w:t>13</w:t>
      </w:r>
      <w:r w:rsidR="000623DB" w:rsidRPr="00B418E8">
        <w:rPr>
          <w:rFonts w:ascii="Arial" w:hAnsi="Arial" w:cs="Arial"/>
          <w:sz w:val="20"/>
          <w:szCs w:val="20"/>
        </w:rPr>
        <w:t>].</w:t>
      </w:r>
    </w:p>
    <w:p w:rsidR="00F96E58" w:rsidRPr="00B418E8" w:rsidRDefault="00F96E58" w:rsidP="006D5390">
      <w:pPr>
        <w:spacing w:after="0" w:line="480" w:lineRule="auto"/>
        <w:rPr>
          <w:rFonts w:ascii="Arial" w:hAnsi="Arial" w:cs="Arial"/>
          <w:sz w:val="20"/>
          <w:szCs w:val="20"/>
        </w:rPr>
      </w:pPr>
    </w:p>
    <w:p w:rsidR="00F96E58" w:rsidRPr="00B418E8" w:rsidRDefault="00F96E58" w:rsidP="006D5390">
      <w:pPr>
        <w:spacing w:after="0" w:line="480" w:lineRule="auto"/>
        <w:rPr>
          <w:rFonts w:ascii="Arial" w:hAnsi="Arial" w:cs="Arial"/>
          <w:sz w:val="20"/>
          <w:szCs w:val="20"/>
        </w:rPr>
      </w:pPr>
      <w:r w:rsidRPr="00B418E8">
        <w:rPr>
          <w:rFonts w:ascii="Arial" w:hAnsi="Arial" w:cs="Arial"/>
          <w:i/>
          <w:sz w:val="20"/>
          <w:szCs w:val="20"/>
        </w:rPr>
        <w:t>Cells and culture</w:t>
      </w:r>
    </w:p>
    <w:p w:rsidR="00F96E58" w:rsidRPr="00B418E8" w:rsidRDefault="002A6418" w:rsidP="006D5390">
      <w:pPr>
        <w:spacing w:after="0" w:line="480" w:lineRule="auto"/>
        <w:rPr>
          <w:rFonts w:ascii="Arial" w:hAnsi="Arial" w:cs="Arial"/>
          <w:sz w:val="20"/>
          <w:szCs w:val="20"/>
        </w:rPr>
      </w:pPr>
      <w:r w:rsidRPr="00B418E8">
        <w:rPr>
          <w:rFonts w:ascii="Arial" w:hAnsi="Arial" w:cs="Arial"/>
          <w:sz w:val="20"/>
          <w:szCs w:val="20"/>
        </w:rPr>
        <w:tab/>
        <w:t xml:space="preserve">Rabbit MSCs will be obtained from the biological supply company </w:t>
      </w:r>
      <w:proofErr w:type="spellStart"/>
      <w:r w:rsidRPr="00B418E8">
        <w:rPr>
          <w:rFonts w:ascii="Arial" w:hAnsi="Arial" w:cs="Arial"/>
          <w:sz w:val="20"/>
          <w:szCs w:val="20"/>
        </w:rPr>
        <w:t>Cyagen</w:t>
      </w:r>
      <w:proofErr w:type="spellEnd"/>
      <w:r w:rsidRPr="00B418E8">
        <w:rPr>
          <w:rFonts w:ascii="Arial" w:hAnsi="Arial" w:cs="Arial"/>
          <w:sz w:val="20"/>
          <w:szCs w:val="20"/>
        </w:rPr>
        <w:t>.  Having obtained the cells from a source besides the animal models will mimic an allogeneic transplant.  This is preferable for three reasons: first, the success of an allogeneic transplant will likely herald the success of an autologous transplant of the same nature.  Next, the harvesting of cells from every test subject for autologous transplant would be time-consuming and complicate</w:t>
      </w:r>
      <w:r w:rsidR="00FA4591">
        <w:rPr>
          <w:rFonts w:ascii="Arial" w:hAnsi="Arial" w:cs="Arial"/>
          <w:sz w:val="20"/>
          <w:szCs w:val="20"/>
        </w:rPr>
        <w:t>d</w:t>
      </w:r>
      <w:r w:rsidRPr="00B418E8">
        <w:rPr>
          <w:rFonts w:ascii="Arial" w:hAnsi="Arial" w:cs="Arial"/>
          <w:sz w:val="20"/>
          <w:szCs w:val="20"/>
        </w:rPr>
        <w:t xml:space="preserve"> procedure.  Lastly, the use of a commercial strain ensures that all the MSCs used in the procedure are the same, substantially reducing variability.</w:t>
      </w:r>
    </w:p>
    <w:p w:rsidR="008C2986" w:rsidRPr="00B418E8" w:rsidRDefault="008C2986" w:rsidP="006D5390">
      <w:pPr>
        <w:spacing w:after="0" w:line="480" w:lineRule="auto"/>
        <w:rPr>
          <w:rFonts w:ascii="Arial" w:hAnsi="Arial" w:cs="Arial"/>
          <w:sz w:val="20"/>
          <w:szCs w:val="20"/>
        </w:rPr>
      </w:pPr>
      <w:r w:rsidRPr="00B418E8">
        <w:rPr>
          <w:rFonts w:ascii="Arial" w:hAnsi="Arial" w:cs="Arial"/>
          <w:sz w:val="20"/>
          <w:szCs w:val="20"/>
        </w:rPr>
        <w:tab/>
        <w:t xml:space="preserve">Transforming growth factor beta (TGF-β) for rabbit MSCs will be supplied from </w:t>
      </w:r>
      <w:proofErr w:type="spellStart"/>
      <w:r w:rsidRPr="00B418E8">
        <w:rPr>
          <w:rFonts w:ascii="Arial" w:hAnsi="Arial" w:cs="Arial"/>
          <w:sz w:val="20"/>
          <w:szCs w:val="20"/>
        </w:rPr>
        <w:t>Epitomics</w:t>
      </w:r>
      <w:proofErr w:type="spellEnd"/>
      <w:r w:rsidRPr="00B418E8">
        <w:rPr>
          <w:rFonts w:ascii="Arial" w:hAnsi="Arial" w:cs="Arial"/>
          <w:sz w:val="20"/>
          <w:szCs w:val="20"/>
        </w:rPr>
        <w:t xml:space="preserve">.  Ham’s F10 nutrient mixture for media, a media used especially for mammalian stem cell culture, will be supplied </w:t>
      </w:r>
      <w:r w:rsidRPr="00B418E8">
        <w:rPr>
          <w:rFonts w:ascii="Arial" w:hAnsi="Arial" w:cs="Arial"/>
          <w:sz w:val="20"/>
          <w:szCs w:val="20"/>
        </w:rPr>
        <w:lastRenderedPageBreak/>
        <w:t xml:space="preserve">from </w:t>
      </w:r>
      <w:proofErr w:type="spellStart"/>
      <w:r w:rsidRPr="00B418E8">
        <w:rPr>
          <w:rFonts w:ascii="Arial" w:hAnsi="Arial" w:cs="Arial"/>
          <w:sz w:val="20"/>
          <w:szCs w:val="20"/>
        </w:rPr>
        <w:t>SigmaAldrich</w:t>
      </w:r>
      <w:proofErr w:type="spellEnd"/>
      <w:r w:rsidRPr="00B418E8">
        <w:rPr>
          <w:rFonts w:ascii="Arial" w:hAnsi="Arial" w:cs="Arial"/>
          <w:sz w:val="20"/>
          <w:szCs w:val="20"/>
        </w:rPr>
        <w:t>.</w:t>
      </w:r>
      <w:r w:rsidR="00FF22B4" w:rsidRPr="00B418E8">
        <w:rPr>
          <w:rFonts w:ascii="Arial" w:hAnsi="Arial" w:cs="Arial"/>
          <w:sz w:val="20"/>
          <w:szCs w:val="20"/>
        </w:rPr>
        <w:t xml:space="preserve">  The stains </w:t>
      </w:r>
      <w:proofErr w:type="spellStart"/>
      <w:r w:rsidR="00FF22B4" w:rsidRPr="00B418E8">
        <w:rPr>
          <w:rFonts w:ascii="Arial" w:hAnsi="Arial" w:cs="Arial"/>
          <w:sz w:val="20"/>
          <w:szCs w:val="20"/>
        </w:rPr>
        <w:t>hematoxylin</w:t>
      </w:r>
      <w:proofErr w:type="spellEnd"/>
      <w:r w:rsidR="00FF22B4" w:rsidRPr="00B418E8">
        <w:rPr>
          <w:rFonts w:ascii="Arial" w:hAnsi="Arial" w:cs="Arial"/>
          <w:sz w:val="20"/>
          <w:szCs w:val="20"/>
        </w:rPr>
        <w:t xml:space="preserve"> and eosin will also be procured from </w:t>
      </w:r>
      <w:proofErr w:type="spellStart"/>
      <w:r w:rsidR="00FF22B4" w:rsidRPr="00B418E8">
        <w:rPr>
          <w:rFonts w:ascii="Arial" w:hAnsi="Arial" w:cs="Arial"/>
          <w:sz w:val="20"/>
          <w:szCs w:val="20"/>
        </w:rPr>
        <w:t>SigmaAldrich</w:t>
      </w:r>
      <w:proofErr w:type="spellEnd"/>
      <w:r w:rsidR="00FF22B4" w:rsidRPr="00B418E8">
        <w:rPr>
          <w:rFonts w:ascii="Arial" w:hAnsi="Arial" w:cs="Arial"/>
          <w:sz w:val="20"/>
          <w:szCs w:val="20"/>
        </w:rPr>
        <w:t xml:space="preserve">; the stain </w:t>
      </w:r>
      <w:proofErr w:type="spellStart"/>
      <w:r w:rsidR="00FF22B4" w:rsidRPr="00B418E8">
        <w:rPr>
          <w:rFonts w:ascii="Arial" w:hAnsi="Arial" w:cs="Arial"/>
          <w:sz w:val="20"/>
          <w:szCs w:val="20"/>
        </w:rPr>
        <w:t>safranin</w:t>
      </w:r>
      <w:proofErr w:type="spellEnd"/>
      <w:r w:rsidR="00FF22B4" w:rsidRPr="00B418E8">
        <w:rPr>
          <w:rFonts w:ascii="Arial" w:hAnsi="Arial" w:cs="Arial"/>
          <w:sz w:val="20"/>
          <w:szCs w:val="20"/>
        </w:rPr>
        <w:t xml:space="preserve">-O from Takara.  The RNA primers for collagen II </w:t>
      </w:r>
      <w:r w:rsidR="00DE090D" w:rsidRPr="00B418E8">
        <w:rPr>
          <w:rFonts w:ascii="Arial" w:hAnsi="Arial" w:cs="Arial"/>
          <w:sz w:val="20"/>
          <w:szCs w:val="20"/>
        </w:rPr>
        <w:t xml:space="preserve">and </w:t>
      </w:r>
      <w:proofErr w:type="spellStart"/>
      <w:r w:rsidR="00DE090D" w:rsidRPr="00B418E8">
        <w:rPr>
          <w:rFonts w:ascii="Arial" w:hAnsi="Arial" w:cs="Arial"/>
          <w:sz w:val="20"/>
          <w:szCs w:val="20"/>
        </w:rPr>
        <w:t>aggrecan</w:t>
      </w:r>
      <w:proofErr w:type="spellEnd"/>
      <w:r w:rsidR="00DE090D" w:rsidRPr="00B418E8">
        <w:rPr>
          <w:rFonts w:ascii="Arial" w:hAnsi="Arial" w:cs="Arial"/>
          <w:sz w:val="20"/>
          <w:szCs w:val="20"/>
        </w:rPr>
        <w:t xml:space="preserve"> for use in RT-</w:t>
      </w:r>
      <w:r w:rsidR="00FF22B4" w:rsidRPr="00B418E8">
        <w:rPr>
          <w:rFonts w:ascii="Arial" w:hAnsi="Arial" w:cs="Arial"/>
          <w:sz w:val="20"/>
          <w:szCs w:val="20"/>
        </w:rPr>
        <w:t xml:space="preserve">PCR will be supplied from </w:t>
      </w:r>
      <w:proofErr w:type="spellStart"/>
      <w:r w:rsidR="00FF22B4" w:rsidRPr="00B418E8">
        <w:rPr>
          <w:rFonts w:ascii="Arial" w:hAnsi="Arial" w:cs="Arial"/>
          <w:sz w:val="20"/>
          <w:szCs w:val="20"/>
        </w:rPr>
        <w:t>Bioneer</w:t>
      </w:r>
      <w:proofErr w:type="spellEnd"/>
      <w:r w:rsidR="00FF22B4" w:rsidRPr="00B418E8">
        <w:rPr>
          <w:rFonts w:ascii="Arial" w:hAnsi="Arial" w:cs="Arial"/>
          <w:sz w:val="20"/>
          <w:szCs w:val="20"/>
        </w:rPr>
        <w:t>.</w:t>
      </w:r>
    </w:p>
    <w:p w:rsidR="008B7744" w:rsidRPr="00B418E8" w:rsidRDefault="008B7744" w:rsidP="006D5390">
      <w:pPr>
        <w:spacing w:after="0" w:line="480" w:lineRule="auto"/>
        <w:rPr>
          <w:rFonts w:ascii="Arial" w:hAnsi="Arial" w:cs="Arial"/>
          <w:sz w:val="20"/>
          <w:szCs w:val="20"/>
        </w:rPr>
      </w:pPr>
    </w:p>
    <w:p w:rsidR="00A42220" w:rsidRPr="00FA4591" w:rsidRDefault="005B4A93" w:rsidP="006D5390">
      <w:pPr>
        <w:spacing w:after="0" w:line="480" w:lineRule="auto"/>
        <w:rPr>
          <w:rFonts w:ascii="Arial" w:hAnsi="Arial" w:cs="Arial"/>
          <w:b/>
          <w:sz w:val="20"/>
          <w:szCs w:val="20"/>
        </w:rPr>
      </w:pPr>
      <w:r w:rsidRPr="00B418E8">
        <w:rPr>
          <w:rFonts w:ascii="Arial" w:hAnsi="Arial" w:cs="Arial"/>
          <w:b/>
          <w:sz w:val="20"/>
          <w:szCs w:val="20"/>
        </w:rPr>
        <w:t>METHODS</w:t>
      </w:r>
    </w:p>
    <w:p w:rsidR="00567C56" w:rsidRPr="00B418E8" w:rsidRDefault="004A2594" w:rsidP="006D5390">
      <w:pPr>
        <w:spacing w:after="0" w:line="480" w:lineRule="auto"/>
        <w:rPr>
          <w:rFonts w:ascii="Arial" w:hAnsi="Arial" w:cs="Arial"/>
          <w:sz w:val="20"/>
          <w:szCs w:val="20"/>
        </w:rPr>
      </w:pPr>
      <w:r w:rsidRPr="00B418E8">
        <w:rPr>
          <w:rFonts w:ascii="Arial" w:hAnsi="Arial" w:cs="Arial"/>
          <w:sz w:val="20"/>
          <w:szCs w:val="20"/>
        </w:rPr>
        <w:tab/>
        <w:t>MSC culture will begin 14 days before injection.  All cells will be cultured in Ham’s F10 nutrient mixture, supplemented with</w:t>
      </w:r>
      <w:r w:rsidR="00646452" w:rsidRPr="00B418E8">
        <w:rPr>
          <w:rFonts w:ascii="Arial" w:hAnsi="Arial" w:cs="Arial"/>
          <w:sz w:val="20"/>
          <w:szCs w:val="20"/>
        </w:rPr>
        <w:t xml:space="preserve"> 10% fetal bovine serum and</w:t>
      </w:r>
      <w:r w:rsidRPr="00B418E8">
        <w:rPr>
          <w:rFonts w:ascii="Arial" w:hAnsi="Arial" w:cs="Arial"/>
          <w:sz w:val="20"/>
          <w:szCs w:val="20"/>
        </w:rPr>
        <w:t xml:space="preserve"> the antibiotics penicillin and streptomycin.  The cells will be kept in an incubator at 39 °C (normal rabbit body temperature) and 5% carbon dioxide.</w:t>
      </w:r>
      <w:r w:rsidR="00646452" w:rsidRPr="00B418E8">
        <w:rPr>
          <w:rFonts w:ascii="Arial" w:hAnsi="Arial" w:cs="Arial"/>
          <w:sz w:val="20"/>
          <w:szCs w:val="20"/>
        </w:rPr>
        <w:t xml:space="preserve">  A concentration of 10 </w:t>
      </w:r>
      <w:proofErr w:type="spellStart"/>
      <w:r w:rsidR="00646452" w:rsidRPr="00B418E8">
        <w:rPr>
          <w:rFonts w:ascii="Arial" w:hAnsi="Arial" w:cs="Arial"/>
          <w:sz w:val="20"/>
          <w:szCs w:val="20"/>
        </w:rPr>
        <w:t>ng</w:t>
      </w:r>
      <w:proofErr w:type="spellEnd"/>
      <w:r w:rsidR="00646452" w:rsidRPr="00B418E8">
        <w:rPr>
          <w:rFonts w:ascii="Arial" w:hAnsi="Arial" w:cs="Arial"/>
          <w:sz w:val="20"/>
          <w:szCs w:val="20"/>
        </w:rPr>
        <w:t>/mL of TGF-β1 will be maintained in culture</w:t>
      </w:r>
      <w:r w:rsidR="004E6109" w:rsidRPr="00B418E8">
        <w:rPr>
          <w:rFonts w:ascii="Arial" w:hAnsi="Arial" w:cs="Arial"/>
          <w:sz w:val="20"/>
          <w:szCs w:val="20"/>
        </w:rPr>
        <w:t xml:space="preserve"> [</w:t>
      </w:r>
      <w:r w:rsidR="00612A86">
        <w:rPr>
          <w:rFonts w:ascii="Arial" w:hAnsi="Arial" w:cs="Arial"/>
          <w:sz w:val="20"/>
          <w:szCs w:val="20"/>
        </w:rPr>
        <w:t>14</w:t>
      </w:r>
      <w:r w:rsidR="004E6109" w:rsidRPr="00B418E8">
        <w:rPr>
          <w:rFonts w:ascii="Arial" w:hAnsi="Arial" w:cs="Arial"/>
          <w:sz w:val="20"/>
          <w:szCs w:val="20"/>
        </w:rPr>
        <w:t>]</w:t>
      </w:r>
      <w:r w:rsidR="00646452" w:rsidRPr="00B418E8">
        <w:rPr>
          <w:rFonts w:ascii="Arial" w:hAnsi="Arial" w:cs="Arial"/>
          <w:sz w:val="20"/>
          <w:szCs w:val="20"/>
        </w:rPr>
        <w:t>.</w:t>
      </w:r>
      <w:r w:rsidR="001B7FA4" w:rsidRPr="00B418E8">
        <w:rPr>
          <w:rFonts w:ascii="Arial" w:hAnsi="Arial" w:cs="Arial"/>
          <w:sz w:val="20"/>
          <w:szCs w:val="20"/>
        </w:rPr>
        <w:t xml:space="preserve">  Half of the cells will remain in static culture while the other half is subjected to </w:t>
      </w:r>
      <w:r w:rsidR="007541ED">
        <w:rPr>
          <w:rFonts w:ascii="Arial" w:hAnsi="Arial" w:cs="Arial"/>
          <w:sz w:val="20"/>
          <w:szCs w:val="20"/>
        </w:rPr>
        <w:t xml:space="preserve">10% strain </w:t>
      </w:r>
      <w:r w:rsidR="001B7FA4" w:rsidRPr="00B418E8">
        <w:rPr>
          <w:rFonts w:ascii="Arial" w:hAnsi="Arial" w:cs="Arial"/>
          <w:sz w:val="20"/>
          <w:szCs w:val="20"/>
        </w:rPr>
        <w:t>compressive sinusoidal loading at 1 Hz for four hours every day.</w:t>
      </w:r>
    </w:p>
    <w:p w:rsidR="005B4A93" w:rsidRPr="00B418E8" w:rsidRDefault="005B4A93" w:rsidP="006D5390">
      <w:pPr>
        <w:spacing w:after="0" w:line="480" w:lineRule="auto"/>
        <w:rPr>
          <w:rFonts w:ascii="Arial" w:hAnsi="Arial" w:cs="Arial"/>
          <w:sz w:val="20"/>
          <w:szCs w:val="20"/>
        </w:rPr>
      </w:pPr>
      <w:r w:rsidRPr="00B418E8">
        <w:rPr>
          <w:rFonts w:ascii="Arial" w:hAnsi="Arial" w:cs="Arial"/>
          <w:sz w:val="20"/>
          <w:szCs w:val="20"/>
        </w:rPr>
        <w:tab/>
        <w:t xml:space="preserve">The total rabbit sample size </w:t>
      </w:r>
      <w:r w:rsidRPr="00B418E8">
        <w:rPr>
          <w:rFonts w:ascii="Arial" w:hAnsi="Arial" w:cs="Arial"/>
          <w:i/>
          <w:sz w:val="20"/>
          <w:szCs w:val="20"/>
        </w:rPr>
        <w:t>n</w:t>
      </w:r>
      <w:r w:rsidRPr="00B418E8">
        <w:rPr>
          <w:rFonts w:ascii="Arial" w:hAnsi="Arial" w:cs="Arial"/>
          <w:sz w:val="20"/>
          <w:szCs w:val="20"/>
        </w:rPr>
        <w:t xml:space="preserve"> will be divided into three groups of size </w:t>
      </w:r>
      <w:r w:rsidRPr="00B418E8">
        <w:rPr>
          <w:rFonts w:ascii="Arial" w:hAnsi="Arial" w:cs="Arial"/>
          <w:i/>
          <w:sz w:val="20"/>
          <w:szCs w:val="20"/>
        </w:rPr>
        <w:t>n</w:t>
      </w:r>
      <w:r w:rsidRPr="00B418E8">
        <w:rPr>
          <w:rFonts w:ascii="Arial" w:hAnsi="Arial" w:cs="Arial"/>
          <w:sz w:val="20"/>
          <w:szCs w:val="20"/>
        </w:rPr>
        <w:t>/3:</w:t>
      </w:r>
    </w:p>
    <w:p w:rsidR="005B4A93" w:rsidRPr="00B418E8" w:rsidRDefault="005B4A93" w:rsidP="005B4A93">
      <w:pPr>
        <w:pStyle w:val="ListParagraph"/>
        <w:numPr>
          <w:ilvl w:val="0"/>
          <w:numId w:val="3"/>
        </w:numPr>
        <w:spacing w:after="0" w:line="480" w:lineRule="auto"/>
        <w:rPr>
          <w:rFonts w:ascii="Arial" w:hAnsi="Arial" w:cs="Arial"/>
          <w:sz w:val="20"/>
          <w:szCs w:val="20"/>
        </w:rPr>
      </w:pPr>
      <w:r w:rsidRPr="00B418E8">
        <w:rPr>
          <w:rFonts w:ascii="Arial" w:hAnsi="Arial" w:cs="Arial"/>
          <w:sz w:val="20"/>
          <w:szCs w:val="20"/>
        </w:rPr>
        <w:t>The control group – after induction of osteoarthritis, these models will receive only media injections.</w:t>
      </w:r>
    </w:p>
    <w:p w:rsidR="005B4A93" w:rsidRPr="00B418E8" w:rsidRDefault="005B4A93" w:rsidP="005B4A93">
      <w:pPr>
        <w:pStyle w:val="ListParagraph"/>
        <w:numPr>
          <w:ilvl w:val="0"/>
          <w:numId w:val="3"/>
        </w:numPr>
        <w:spacing w:after="0" w:line="480" w:lineRule="auto"/>
        <w:rPr>
          <w:rFonts w:ascii="Arial" w:hAnsi="Arial" w:cs="Arial"/>
          <w:sz w:val="20"/>
          <w:szCs w:val="20"/>
        </w:rPr>
      </w:pPr>
      <w:r w:rsidRPr="00B418E8">
        <w:rPr>
          <w:rFonts w:ascii="Arial" w:hAnsi="Arial" w:cs="Arial"/>
          <w:sz w:val="20"/>
          <w:szCs w:val="20"/>
        </w:rPr>
        <w:t>The growth factor-only group – after induction of osteoarthritis, these models will receive injections of chondrocytes differentiated from MSCs only by the use of the chemical growth factor TGF-β.</w:t>
      </w:r>
    </w:p>
    <w:p w:rsidR="00D354FA" w:rsidRPr="00B418E8" w:rsidRDefault="00D354FA" w:rsidP="005B4A93">
      <w:pPr>
        <w:pStyle w:val="ListParagraph"/>
        <w:numPr>
          <w:ilvl w:val="0"/>
          <w:numId w:val="3"/>
        </w:numPr>
        <w:spacing w:after="0" w:line="480" w:lineRule="auto"/>
        <w:rPr>
          <w:rFonts w:ascii="Arial" w:hAnsi="Arial" w:cs="Arial"/>
          <w:sz w:val="20"/>
          <w:szCs w:val="20"/>
        </w:rPr>
      </w:pPr>
      <w:r w:rsidRPr="00B418E8">
        <w:rPr>
          <w:rFonts w:ascii="Arial" w:hAnsi="Arial" w:cs="Arial"/>
          <w:sz w:val="20"/>
          <w:szCs w:val="20"/>
        </w:rPr>
        <w:t>The growth factor and mechanical stimulation group – after induction of osteoarthritis, these models will receive injections of chondrocytes differentiated from MSCs by both TGF-β and compressive loading.</w:t>
      </w:r>
    </w:p>
    <w:p w:rsidR="00DD1125" w:rsidRPr="00B418E8" w:rsidRDefault="00DD1125" w:rsidP="00791408">
      <w:pPr>
        <w:spacing w:after="0" w:line="480" w:lineRule="auto"/>
        <w:ind w:firstLine="720"/>
        <w:rPr>
          <w:rFonts w:ascii="Arial" w:hAnsi="Arial" w:cs="Arial"/>
          <w:sz w:val="20"/>
          <w:szCs w:val="20"/>
        </w:rPr>
      </w:pPr>
      <w:r w:rsidRPr="00B418E8">
        <w:rPr>
          <w:rFonts w:ascii="Arial" w:hAnsi="Arial" w:cs="Arial"/>
          <w:sz w:val="20"/>
          <w:szCs w:val="20"/>
        </w:rPr>
        <w:t>Osteoarthritis will be induced by cutting a circular defect on the patellar groove with a diameter of 3 mm and a depth of 2 mm</w:t>
      </w:r>
      <w:r w:rsidR="005B5B33" w:rsidRPr="00B418E8">
        <w:rPr>
          <w:rFonts w:ascii="Arial" w:hAnsi="Arial" w:cs="Arial"/>
          <w:sz w:val="20"/>
          <w:szCs w:val="20"/>
        </w:rPr>
        <w:t xml:space="preserve"> into the subchondral bone</w:t>
      </w:r>
      <w:r w:rsidRPr="00B418E8">
        <w:rPr>
          <w:rFonts w:ascii="Arial" w:hAnsi="Arial" w:cs="Arial"/>
          <w:sz w:val="20"/>
          <w:szCs w:val="20"/>
        </w:rPr>
        <w:t>.  Each subject will receive only one defect</w:t>
      </w:r>
      <w:r w:rsidR="00814880" w:rsidRPr="00B418E8">
        <w:rPr>
          <w:rFonts w:ascii="Arial" w:hAnsi="Arial" w:cs="Arial"/>
          <w:sz w:val="20"/>
          <w:szCs w:val="20"/>
        </w:rPr>
        <w:t>.</w:t>
      </w:r>
      <w:r w:rsidR="009D64E8" w:rsidRPr="00B418E8">
        <w:rPr>
          <w:rFonts w:ascii="Arial" w:hAnsi="Arial" w:cs="Arial"/>
          <w:sz w:val="20"/>
          <w:szCs w:val="20"/>
        </w:rPr>
        <w:t xml:space="preserve">  The defect will be </w:t>
      </w:r>
      <w:r w:rsidR="00F1059C">
        <w:rPr>
          <w:rFonts w:ascii="Arial" w:hAnsi="Arial" w:cs="Arial"/>
          <w:sz w:val="20"/>
          <w:szCs w:val="20"/>
        </w:rPr>
        <w:t>allowed to heal on its own for six</w:t>
      </w:r>
      <w:r w:rsidR="009D64E8" w:rsidRPr="00B418E8">
        <w:rPr>
          <w:rFonts w:ascii="Arial" w:hAnsi="Arial" w:cs="Arial"/>
          <w:sz w:val="20"/>
          <w:szCs w:val="20"/>
        </w:rPr>
        <w:t xml:space="preserve"> weeks before injections are administered</w:t>
      </w:r>
      <w:r w:rsidR="00E3243F" w:rsidRPr="00B418E8">
        <w:rPr>
          <w:rFonts w:ascii="Arial" w:hAnsi="Arial" w:cs="Arial"/>
          <w:sz w:val="20"/>
          <w:szCs w:val="20"/>
        </w:rPr>
        <w:t>; the purpose of this wait period is</w:t>
      </w:r>
      <w:r w:rsidR="009D64E8" w:rsidRPr="00B418E8">
        <w:rPr>
          <w:rFonts w:ascii="Arial" w:hAnsi="Arial" w:cs="Arial"/>
          <w:sz w:val="20"/>
          <w:szCs w:val="20"/>
        </w:rPr>
        <w:t xml:space="preserve"> to remove </w:t>
      </w:r>
      <w:r w:rsidR="007A2653" w:rsidRPr="00B418E8">
        <w:rPr>
          <w:rFonts w:ascii="Arial" w:hAnsi="Arial" w:cs="Arial"/>
          <w:sz w:val="20"/>
          <w:szCs w:val="20"/>
        </w:rPr>
        <w:t>the variable of inflammatory and immune response that may interfere with the efficacy of treatment.</w:t>
      </w:r>
    </w:p>
    <w:p w:rsidR="004D7311" w:rsidRPr="00B418E8" w:rsidRDefault="004D7311" w:rsidP="00791408">
      <w:pPr>
        <w:spacing w:after="0" w:line="480" w:lineRule="auto"/>
        <w:ind w:firstLine="720"/>
        <w:rPr>
          <w:rFonts w:ascii="Arial" w:hAnsi="Arial" w:cs="Arial"/>
          <w:sz w:val="20"/>
          <w:szCs w:val="20"/>
        </w:rPr>
      </w:pPr>
      <w:r w:rsidRPr="00B418E8">
        <w:rPr>
          <w:rFonts w:ascii="Arial" w:hAnsi="Arial" w:cs="Arial"/>
          <w:sz w:val="20"/>
          <w:szCs w:val="20"/>
        </w:rPr>
        <w:t>After the six weeks, the subjects will receive an injection of 10</w:t>
      </w:r>
      <w:r w:rsidRPr="00B418E8">
        <w:rPr>
          <w:rFonts w:ascii="Arial" w:hAnsi="Arial" w:cs="Arial"/>
          <w:sz w:val="20"/>
          <w:szCs w:val="20"/>
          <w:vertAlign w:val="superscript"/>
        </w:rPr>
        <w:t>6</w:t>
      </w:r>
      <w:r w:rsidRPr="00B418E8">
        <w:rPr>
          <w:rFonts w:ascii="Arial" w:hAnsi="Arial" w:cs="Arial"/>
          <w:sz w:val="20"/>
          <w:szCs w:val="20"/>
        </w:rPr>
        <w:t xml:space="preserve"> chondrocytes in 0.025 mL of Ham’s F10 nutrient mixture (except the control group which will receive only the media).</w:t>
      </w:r>
      <w:r w:rsidR="00EA617B" w:rsidRPr="00B418E8">
        <w:rPr>
          <w:rFonts w:ascii="Arial" w:hAnsi="Arial" w:cs="Arial"/>
          <w:sz w:val="20"/>
          <w:szCs w:val="20"/>
        </w:rPr>
        <w:t xml:space="preserve">  </w:t>
      </w:r>
      <w:r w:rsidR="00FD2995" w:rsidRPr="00B418E8">
        <w:rPr>
          <w:rFonts w:ascii="Arial" w:hAnsi="Arial" w:cs="Arial"/>
          <w:sz w:val="20"/>
          <w:szCs w:val="20"/>
        </w:rPr>
        <w:t>T</w:t>
      </w:r>
      <w:r w:rsidR="00BC425B" w:rsidRPr="00B418E8">
        <w:rPr>
          <w:rFonts w:ascii="Arial" w:hAnsi="Arial" w:cs="Arial"/>
          <w:sz w:val="20"/>
          <w:szCs w:val="20"/>
        </w:rPr>
        <w:t>he</w:t>
      </w:r>
      <w:r w:rsidR="00EA617B" w:rsidRPr="00B418E8">
        <w:rPr>
          <w:rFonts w:ascii="Arial" w:hAnsi="Arial" w:cs="Arial"/>
          <w:sz w:val="20"/>
          <w:szCs w:val="20"/>
        </w:rPr>
        <w:t xml:space="preserve"> animals will </w:t>
      </w:r>
      <w:r w:rsidR="00EA617B" w:rsidRPr="00B418E8">
        <w:rPr>
          <w:rFonts w:ascii="Arial" w:hAnsi="Arial" w:cs="Arial"/>
          <w:sz w:val="20"/>
          <w:szCs w:val="20"/>
        </w:rPr>
        <w:lastRenderedPageBreak/>
        <w:t xml:space="preserve">be sacrificed </w:t>
      </w:r>
      <w:r w:rsidR="00EF58CD" w:rsidRPr="00B418E8">
        <w:rPr>
          <w:rFonts w:ascii="Arial" w:hAnsi="Arial" w:cs="Arial"/>
          <w:sz w:val="20"/>
          <w:szCs w:val="20"/>
        </w:rPr>
        <w:t xml:space="preserve">via barbiturate injection </w:t>
      </w:r>
      <w:r w:rsidR="00EA617B" w:rsidRPr="00B418E8">
        <w:rPr>
          <w:rFonts w:ascii="Arial" w:hAnsi="Arial" w:cs="Arial"/>
          <w:sz w:val="20"/>
          <w:szCs w:val="20"/>
        </w:rPr>
        <w:t xml:space="preserve">at the 14 week mark after injections.  </w:t>
      </w:r>
      <w:r w:rsidR="00ED40E1" w:rsidRPr="00B418E8">
        <w:rPr>
          <w:rFonts w:ascii="Arial" w:hAnsi="Arial" w:cs="Arial"/>
          <w:sz w:val="20"/>
          <w:szCs w:val="20"/>
        </w:rPr>
        <w:t>For each subject, t</w:t>
      </w:r>
      <w:r w:rsidR="00EA617B" w:rsidRPr="00B418E8">
        <w:rPr>
          <w:rFonts w:ascii="Arial" w:hAnsi="Arial" w:cs="Arial"/>
          <w:sz w:val="20"/>
          <w:szCs w:val="20"/>
        </w:rPr>
        <w:t xml:space="preserve">he distal/femoral knee area will be </w:t>
      </w:r>
      <w:proofErr w:type="spellStart"/>
      <w:r w:rsidR="00EA617B" w:rsidRPr="00B418E8">
        <w:rPr>
          <w:rFonts w:ascii="Arial" w:hAnsi="Arial" w:cs="Arial"/>
          <w:sz w:val="20"/>
          <w:szCs w:val="20"/>
        </w:rPr>
        <w:t>resectioned</w:t>
      </w:r>
      <w:proofErr w:type="spellEnd"/>
      <w:r w:rsidR="00EA617B" w:rsidRPr="00B418E8">
        <w:rPr>
          <w:rFonts w:ascii="Arial" w:hAnsi="Arial" w:cs="Arial"/>
          <w:sz w:val="20"/>
          <w:szCs w:val="20"/>
        </w:rPr>
        <w:t xml:space="preserve"> for analysis.</w:t>
      </w:r>
    </w:p>
    <w:p w:rsidR="0079202B" w:rsidRPr="00B418E8" w:rsidRDefault="0079202B" w:rsidP="00791408">
      <w:pPr>
        <w:spacing w:after="0" w:line="480" w:lineRule="auto"/>
        <w:ind w:firstLine="720"/>
        <w:rPr>
          <w:rFonts w:ascii="Arial" w:hAnsi="Arial" w:cs="Arial"/>
          <w:sz w:val="20"/>
          <w:szCs w:val="20"/>
        </w:rPr>
      </w:pPr>
      <w:r w:rsidRPr="00B418E8">
        <w:rPr>
          <w:rFonts w:ascii="Arial" w:hAnsi="Arial" w:cs="Arial"/>
          <w:sz w:val="20"/>
          <w:szCs w:val="20"/>
        </w:rPr>
        <w:t xml:space="preserve">Histological analysis will include staining samples with </w:t>
      </w:r>
      <w:proofErr w:type="spellStart"/>
      <w:r w:rsidRPr="00B418E8">
        <w:rPr>
          <w:rFonts w:ascii="Arial" w:hAnsi="Arial" w:cs="Arial"/>
          <w:sz w:val="20"/>
          <w:szCs w:val="20"/>
        </w:rPr>
        <w:t>hematoxylin</w:t>
      </w:r>
      <w:proofErr w:type="spellEnd"/>
      <w:r w:rsidRPr="00B418E8">
        <w:rPr>
          <w:rFonts w:ascii="Arial" w:hAnsi="Arial" w:cs="Arial"/>
          <w:sz w:val="20"/>
          <w:szCs w:val="20"/>
        </w:rPr>
        <w:t xml:space="preserve">, eosin, and </w:t>
      </w:r>
      <w:proofErr w:type="spellStart"/>
      <w:r w:rsidRPr="00B418E8">
        <w:rPr>
          <w:rFonts w:ascii="Arial" w:hAnsi="Arial" w:cs="Arial"/>
          <w:sz w:val="20"/>
          <w:szCs w:val="20"/>
        </w:rPr>
        <w:t>safranin</w:t>
      </w:r>
      <w:proofErr w:type="spellEnd"/>
      <w:r w:rsidRPr="00B418E8">
        <w:rPr>
          <w:rFonts w:ascii="Arial" w:hAnsi="Arial" w:cs="Arial"/>
          <w:sz w:val="20"/>
          <w:szCs w:val="20"/>
        </w:rPr>
        <w:t xml:space="preserve">-O.  The stains </w:t>
      </w:r>
      <w:proofErr w:type="spellStart"/>
      <w:r w:rsidRPr="00B418E8">
        <w:rPr>
          <w:rFonts w:ascii="Arial" w:hAnsi="Arial" w:cs="Arial"/>
          <w:sz w:val="20"/>
          <w:szCs w:val="20"/>
        </w:rPr>
        <w:t>hematoxylin</w:t>
      </w:r>
      <w:proofErr w:type="spellEnd"/>
      <w:r w:rsidRPr="00B418E8">
        <w:rPr>
          <w:rFonts w:ascii="Arial" w:hAnsi="Arial" w:cs="Arial"/>
          <w:sz w:val="20"/>
          <w:szCs w:val="20"/>
        </w:rPr>
        <w:t xml:space="preserve"> and eosin (or </w:t>
      </w:r>
      <w:proofErr w:type="gramStart"/>
      <w:r w:rsidRPr="00B418E8">
        <w:rPr>
          <w:rFonts w:ascii="Arial" w:hAnsi="Arial" w:cs="Arial"/>
          <w:sz w:val="20"/>
          <w:szCs w:val="20"/>
        </w:rPr>
        <w:t>an H&amp;E stain) are</w:t>
      </w:r>
      <w:proofErr w:type="gramEnd"/>
      <w:r w:rsidRPr="00B418E8">
        <w:rPr>
          <w:rFonts w:ascii="Arial" w:hAnsi="Arial" w:cs="Arial"/>
          <w:sz w:val="20"/>
          <w:szCs w:val="20"/>
        </w:rPr>
        <w:t xml:space="preserve"> commonly used in histology to highlight cell nuclei and extracellular protein.</w:t>
      </w:r>
      <w:r w:rsidR="00E17A3B" w:rsidRPr="00B418E8">
        <w:rPr>
          <w:rFonts w:ascii="Arial" w:hAnsi="Arial" w:cs="Arial"/>
          <w:sz w:val="20"/>
          <w:szCs w:val="20"/>
        </w:rPr>
        <w:t xml:space="preserve">  </w:t>
      </w:r>
      <w:proofErr w:type="spellStart"/>
      <w:r w:rsidR="00E17A3B" w:rsidRPr="00B418E8">
        <w:rPr>
          <w:rFonts w:ascii="Arial" w:hAnsi="Arial" w:cs="Arial"/>
          <w:sz w:val="20"/>
          <w:szCs w:val="20"/>
        </w:rPr>
        <w:t>Safranin</w:t>
      </w:r>
      <w:proofErr w:type="spellEnd"/>
      <w:r w:rsidR="00E17A3B" w:rsidRPr="00B418E8">
        <w:rPr>
          <w:rFonts w:ascii="Arial" w:hAnsi="Arial" w:cs="Arial"/>
          <w:sz w:val="20"/>
          <w:szCs w:val="20"/>
        </w:rPr>
        <w:t>-O will be applied as it stains proteoglycans</w:t>
      </w:r>
      <w:r w:rsidR="00C40940" w:rsidRPr="00B418E8">
        <w:rPr>
          <w:rFonts w:ascii="Arial" w:hAnsi="Arial" w:cs="Arial"/>
          <w:sz w:val="20"/>
          <w:szCs w:val="20"/>
        </w:rPr>
        <w:t xml:space="preserve"> [</w:t>
      </w:r>
      <w:r w:rsidR="00612A86">
        <w:rPr>
          <w:rFonts w:ascii="Arial" w:hAnsi="Arial" w:cs="Arial"/>
          <w:sz w:val="20"/>
          <w:szCs w:val="20"/>
        </w:rPr>
        <w:t>15</w:t>
      </w:r>
      <w:r w:rsidR="00C40940" w:rsidRPr="00B418E8">
        <w:rPr>
          <w:rFonts w:ascii="Arial" w:hAnsi="Arial" w:cs="Arial"/>
          <w:sz w:val="20"/>
          <w:szCs w:val="20"/>
        </w:rPr>
        <w:t>]</w:t>
      </w:r>
      <w:r w:rsidR="00E17A3B" w:rsidRPr="00B418E8">
        <w:rPr>
          <w:rFonts w:ascii="Arial" w:hAnsi="Arial" w:cs="Arial"/>
          <w:sz w:val="20"/>
          <w:szCs w:val="20"/>
        </w:rPr>
        <w:t xml:space="preserve">.  Thus, the H&amp;E stain will allow for an estimate to be made in the numbers of active cells in the cartilage, while the </w:t>
      </w:r>
      <w:proofErr w:type="spellStart"/>
      <w:r w:rsidR="00E17A3B" w:rsidRPr="00B418E8">
        <w:rPr>
          <w:rFonts w:ascii="Arial" w:hAnsi="Arial" w:cs="Arial"/>
          <w:sz w:val="20"/>
          <w:szCs w:val="20"/>
        </w:rPr>
        <w:t>safranin</w:t>
      </w:r>
      <w:proofErr w:type="spellEnd"/>
      <w:r w:rsidR="00E17A3B" w:rsidRPr="00B418E8">
        <w:rPr>
          <w:rFonts w:ascii="Arial" w:hAnsi="Arial" w:cs="Arial"/>
          <w:sz w:val="20"/>
          <w:szCs w:val="20"/>
        </w:rPr>
        <w:t xml:space="preserve">-O stain will assess the extent of </w:t>
      </w:r>
      <w:r w:rsidR="0066715E" w:rsidRPr="00B418E8">
        <w:rPr>
          <w:rFonts w:ascii="Arial" w:hAnsi="Arial" w:cs="Arial"/>
          <w:sz w:val="20"/>
          <w:szCs w:val="20"/>
        </w:rPr>
        <w:t xml:space="preserve">cartilage-specific </w:t>
      </w:r>
      <w:r w:rsidR="00E17A3B" w:rsidRPr="00B418E8">
        <w:rPr>
          <w:rFonts w:ascii="Arial" w:hAnsi="Arial" w:cs="Arial"/>
          <w:sz w:val="20"/>
          <w:szCs w:val="20"/>
        </w:rPr>
        <w:t>extracellular matrix formation.</w:t>
      </w:r>
    </w:p>
    <w:p w:rsidR="00C40940" w:rsidRPr="00B418E8" w:rsidRDefault="00C40940" w:rsidP="00791408">
      <w:pPr>
        <w:spacing w:after="0" w:line="480" w:lineRule="auto"/>
        <w:ind w:firstLine="720"/>
        <w:rPr>
          <w:rFonts w:ascii="Arial" w:hAnsi="Arial" w:cs="Arial"/>
          <w:sz w:val="20"/>
          <w:szCs w:val="20"/>
        </w:rPr>
      </w:pPr>
      <w:r w:rsidRPr="00B418E8">
        <w:rPr>
          <w:rFonts w:ascii="Arial" w:hAnsi="Arial" w:cs="Arial"/>
          <w:sz w:val="20"/>
          <w:szCs w:val="20"/>
        </w:rPr>
        <w:t>In addition to</w:t>
      </w:r>
      <w:r w:rsidR="004A7A0A" w:rsidRPr="00B418E8">
        <w:rPr>
          <w:rFonts w:ascii="Arial" w:hAnsi="Arial" w:cs="Arial"/>
          <w:sz w:val="20"/>
          <w:szCs w:val="20"/>
        </w:rPr>
        <w:t xml:space="preserve"> histol</w:t>
      </w:r>
      <w:r w:rsidR="00F1059C">
        <w:rPr>
          <w:rFonts w:ascii="Arial" w:hAnsi="Arial" w:cs="Arial"/>
          <w:sz w:val="20"/>
          <w:szCs w:val="20"/>
        </w:rPr>
        <w:t xml:space="preserve">ogy, samples will also undergo </w:t>
      </w:r>
      <w:r w:rsidR="00DE090D" w:rsidRPr="00B418E8">
        <w:rPr>
          <w:rFonts w:ascii="Arial" w:hAnsi="Arial" w:cs="Arial"/>
          <w:sz w:val="20"/>
          <w:szCs w:val="20"/>
        </w:rPr>
        <w:t>RT-</w:t>
      </w:r>
      <w:r w:rsidR="004A7A0A" w:rsidRPr="00B418E8">
        <w:rPr>
          <w:rFonts w:ascii="Arial" w:hAnsi="Arial" w:cs="Arial"/>
          <w:sz w:val="20"/>
          <w:szCs w:val="20"/>
        </w:rPr>
        <w:t>PCR to determine the</w:t>
      </w:r>
      <w:r w:rsidR="00C83E40" w:rsidRPr="00B418E8">
        <w:rPr>
          <w:rFonts w:ascii="Arial" w:hAnsi="Arial" w:cs="Arial"/>
          <w:sz w:val="20"/>
          <w:szCs w:val="20"/>
        </w:rPr>
        <w:t xml:space="preserve"> relative amounts of collagen II and </w:t>
      </w:r>
      <w:proofErr w:type="spellStart"/>
      <w:r w:rsidR="00C83E40" w:rsidRPr="00B418E8">
        <w:rPr>
          <w:rFonts w:ascii="Arial" w:hAnsi="Arial" w:cs="Arial"/>
          <w:sz w:val="20"/>
          <w:szCs w:val="20"/>
        </w:rPr>
        <w:t>aggrecan</w:t>
      </w:r>
      <w:proofErr w:type="spellEnd"/>
      <w:r w:rsidR="00C83E40" w:rsidRPr="00B418E8">
        <w:rPr>
          <w:rFonts w:ascii="Arial" w:hAnsi="Arial" w:cs="Arial"/>
          <w:sz w:val="20"/>
          <w:szCs w:val="20"/>
        </w:rPr>
        <w:t xml:space="preserve"> synthesis taking place.</w:t>
      </w:r>
    </w:p>
    <w:p w:rsidR="0085005C" w:rsidRPr="00B418E8" w:rsidRDefault="0085005C" w:rsidP="00791408">
      <w:pPr>
        <w:spacing w:after="0" w:line="480" w:lineRule="auto"/>
        <w:ind w:firstLine="720"/>
        <w:rPr>
          <w:rFonts w:ascii="Arial" w:hAnsi="Arial" w:cs="Arial"/>
          <w:sz w:val="20"/>
          <w:szCs w:val="20"/>
        </w:rPr>
      </w:pPr>
    </w:p>
    <w:p w:rsidR="0085005C" w:rsidRPr="00B418E8" w:rsidRDefault="0085005C" w:rsidP="0085005C">
      <w:pPr>
        <w:spacing w:after="0" w:line="480" w:lineRule="auto"/>
        <w:rPr>
          <w:rFonts w:ascii="Arial" w:hAnsi="Arial" w:cs="Arial"/>
          <w:sz w:val="20"/>
          <w:szCs w:val="20"/>
        </w:rPr>
      </w:pPr>
      <w:r w:rsidRPr="00B418E8">
        <w:rPr>
          <w:rFonts w:ascii="Arial" w:hAnsi="Arial" w:cs="Arial"/>
          <w:b/>
          <w:sz w:val="20"/>
          <w:szCs w:val="20"/>
        </w:rPr>
        <w:t>EXPECTED RESULTS</w:t>
      </w:r>
    </w:p>
    <w:p w:rsidR="0085005C" w:rsidRPr="00B418E8" w:rsidRDefault="001C73E7" w:rsidP="0085005C">
      <w:pPr>
        <w:spacing w:after="0" w:line="480" w:lineRule="auto"/>
        <w:rPr>
          <w:rFonts w:ascii="Arial" w:hAnsi="Arial" w:cs="Arial"/>
          <w:sz w:val="20"/>
          <w:szCs w:val="20"/>
        </w:rPr>
      </w:pPr>
      <w:r w:rsidRPr="00B418E8">
        <w:rPr>
          <w:rFonts w:ascii="Arial" w:hAnsi="Arial" w:cs="Arial"/>
          <w:sz w:val="20"/>
          <w:szCs w:val="20"/>
        </w:rPr>
        <w:tab/>
        <w:t>After 14 weeks, the</w:t>
      </w:r>
      <w:r w:rsidR="007E221A" w:rsidRPr="00B418E8">
        <w:rPr>
          <w:rFonts w:ascii="Arial" w:hAnsi="Arial" w:cs="Arial"/>
          <w:sz w:val="20"/>
          <w:szCs w:val="20"/>
        </w:rPr>
        <w:t xml:space="preserve"> borders of the</w:t>
      </w:r>
      <w:r w:rsidRPr="00B418E8">
        <w:rPr>
          <w:rFonts w:ascii="Arial" w:hAnsi="Arial" w:cs="Arial"/>
          <w:sz w:val="20"/>
          <w:szCs w:val="20"/>
        </w:rPr>
        <w:t xml:space="preserve"> original defect should still be</w:t>
      </w:r>
      <w:r w:rsidR="007E221A" w:rsidRPr="00B418E8">
        <w:rPr>
          <w:rFonts w:ascii="Arial" w:hAnsi="Arial" w:cs="Arial"/>
          <w:sz w:val="20"/>
          <w:szCs w:val="20"/>
        </w:rPr>
        <w:t xml:space="preserve"> visible upon gross examination, though regeneration of the subchondral bone and cartilage should be apparent.</w:t>
      </w:r>
      <w:r w:rsidR="004E6109" w:rsidRPr="00B418E8">
        <w:rPr>
          <w:rFonts w:ascii="Arial" w:hAnsi="Arial" w:cs="Arial"/>
          <w:sz w:val="20"/>
          <w:szCs w:val="20"/>
        </w:rPr>
        <w:t xml:space="preserve">  The regenerated cartilage in the experimental groups should take the appearance of the surrounding articular cartilage, while the control group should exhibit the fibrous scar tissue ty</w:t>
      </w:r>
      <w:r w:rsidR="00FD04A0" w:rsidRPr="00B418E8">
        <w:rPr>
          <w:rFonts w:ascii="Arial" w:hAnsi="Arial" w:cs="Arial"/>
          <w:sz w:val="20"/>
          <w:szCs w:val="20"/>
        </w:rPr>
        <w:t xml:space="preserve">pical of self-healing cartilage </w:t>
      </w:r>
      <w:r w:rsidR="00FD04A0" w:rsidRPr="00B418E8">
        <w:rPr>
          <w:rFonts w:ascii="Arial" w:hAnsi="Arial" w:cs="Arial"/>
          <w:sz w:val="20"/>
          <w:szCs w:val="20"/>
        </w:rPr>
        <w:t>[</w:t>
      </w:r>
      <w:r w:rsidR="00612A86">
        <w:rPr>
          <w:rFonts w:ascii="Arial" w:hAnsi="Arial" w:cs="Arial"/>
          <w:sz w:val="20"/>
          <w:szCs w:val="20"/>
        </w:rPr>
        <w:t>2</w:t>
      </w:r>
      <w:r w:rsidR="00FD04A0" w:rsidRPr="00B418E8">
        <w:rPr>
          <w:rFonts w:ascii="Arial" w:hAnsi="Arial" w:cs="Arial"/>
          <w:sz w:val="20"/>
          <w:szCs w:val="20"/>
        </w:rPr>
        <w:t>]</w:t>
      </w:r>
      <w:r w:rsidR="00FD04A0" w:rsidRPr="00B418E8">
        <w:rPr>
          <w:rFonts w:ascii="Arial" w:hAnsi="Arial" w:cs="Arial"/>
          <w:sz w:val="20"/>
          <w:szCs w:val="20"/>
        </w:rPr>
        <w:t>.</w:t>
      </w:r>
    </w:p>
    <w:p w:rsidR="00FD2995" w:rsidRPr="00B418E8" w:rsidRDefault="0084524E" w:rsidP="0085005C">
      <w:pPr>
        <w:spacing w:after="0" w:line="480" w:lineRule="auto"/>
        <w:rPr>
          <w:rFonts w:ascii="Arial" w:hAnsi="Arial" w:cs="Arial"/>
          <w:sz w:val="20"/>
          <w:szCs w:val="20"/>
        </w:rPr>
      </w:pPr>
      <w:r w:rsidRPr="00B418E8">
        <w:rPr>
          <w:rFonts w:ascii="Arial" w:hAnsi="Arial" w:cs="Arial"/>
          <w:sz w:val="20"/>
          <w:szCs w:val="20"/>
        </w:rPr>
        <w:tab/>
        <w:t>Histological findings will be based on a scale</w:t>
      </w:r>
      <w:r w:rsidR="00B32070" w:rsidRPr="00B418E8">
        <w:rPr>
          <w:rFonts w:ascii="Arial" w:hAnsi="Arial" w:cs="Arial"/>
          <w:sz w:val="20"/>
          <w:szCs w:val="20"/>
        </w:rPr>
        <w:t xml:space="preserve"> (see appendix)</w:t>
      </w:r>
      <w:r w:rsidRPr="00B418E8">
        <w:rPr>
          <w:rFonts w:ascii="Arial" w:hAnsi="Arial" w:cs="Arial"/>
          <w:sz w:val="20"/>
          <w:szCs w:val="20"/>
        </w:rPr>
        <w:t xml:space="preserve"> developed by </w:t>
      </w:r>
      <w:proofErr w:type="spellStart"/>
      <w:r w:rsidRPr="00B418E8">
        <w:rPr>
          <w:rFonts w:ascii="Arial" w:hAnsi="Arial" w:cs="Arial"/>
          <w:sz w:val="20"/>
          <w:szCs w:val="20"/>
        </w:rPr>
        <w:t>Im</w:t>
      </w:r>
      <w:proofErr w:type="spellEnd"/>
      <w:r w:rsidRPr="00B418E8">
        <w:rPr>
          <w:rFonts w:ascii="Arial" w:hAnsi="Arial" w:cs="Arial"/>
          <w:sz w:val="20"/>
          <w:szCs w:val="20"/>
        </w:rPr>
        <w:t xml:space="preserve"> et al. [</w:t>
      </w:r>
      <w:r w:rsidR="00612A86">
        <w:rPr>
          <w:rFonts w:ascii="Arial" w:hAnsi="Arial" w:cs="Arial"/>
          <w:sz w:val="20"/>
          <w:szCs w:val="20"/>
        </w:rPr>
        <w:t>16</w:t>
      </w:r>
      <w:r w:rsidRPr="00B418E8">
        <w:rPr>
          <w:rFonts w:ascii="Arial" w:hAnsi="Arial" w:cs="Arial"/>
          <w:sz w:val="20"/>
          <w:szCs w:val="20"/>
        </w:rPr>
        <w:t>].  Higher numbers indicate more fully healed cartilage.</w:t>
      </w:r>
      <w:r w:rsidR="00206C40">
        <w:rPr>
          <w:rFonts w:ascii="Arial" w:hAnsi="Arial" w:cs="Arial"/>
          <w:sz w:val="20"/>
          <w:szCs w:val="20"/>
        </w:rPr>
        <w:t xml:space="preserve">  </w:t>
      </w:r>
      <w:r w:rsidRPr="00B418E8">
        <w:rPr>
          <w:rFonts w:ascii="Arial" w:hAnsi="Arial" w:cs="Arial"/>
          <w:sz w:val="20"/>
          <w:szCs w:val="20"/>
        </w:rPr>
        <w:t>The scale takes into account not only the histology and morphology of the cartilage, but the structural elements</w:t>
      </w:r>
      <w:r w:rsidR="00206C40">
        <w:rPr>
          <w:rFonts w:ascii="Arial" w:hAnsi="Arial" w:cs="Arial"/>
          <w:sz w:val="20"/>
          <w:szCs w:val="20"/>
        </w:rPr>
        <w:t xml:space="preserve"> of the healed defect</w:t>
      </w:r>
      <w:r w:rsidRPr="00B418E8">
        <w:rPr>
          <w:rFonts w:ascii="Arial" w:hAnsi="Arial" w:cs="Arial"/>
          <w:sz w:val="20"/>
          <w:szCs w:val="20"/>
        </w:rPr>
        <w:t xml:space="preserve"> and</w:t>
      </w:r>
      <w:r w:rsidR="00206C40">
        <w:rPr>
          <w:rFonts w:ascii="Arial" w:hAnsi="Arial" w:cs="Arial"/>
          <w:sz w:val="20"/>
          <w:szCs w:val="20"/>
        </w:rPr>
        <w:t xml:space="preserve"> its</w:t>
      </w:r>
      <w:r w:rsidRPr="00B418E8">
        <w:rPr>
          <w:rFonts w:ascii="Arial" w:hAnsi="Arial" w:cs="Arial"/>
          <w:sz w:val="20"/>
          <w:szCs w:val="20"/>
        </w:rPr>
        <w:t xml:space="preserve"> interaction with the surrounding cartilage.  </w:t>
      </w:r>
      <w:proofErr w:type="spellStart"/>
      <w:r w:rsidRPr="00B418E8">
        <w:rPr>
          <w:rFonts w:ascii="Arial" w:hAnsi="Arial" w:cs="Arial"/>
          <w:sz w:val="20"/>
          <w:szCs w:val="20"/>
        </w:rPr>
        <w:t>Im</w:t>
      </w:r>
      <w:proofErr w:type="spellEnd"/>
      <w:r w:rsidRPr="00B418E8">
        <w:rPr>
          <w:rFonts w:ascii="Arial" w:hAnsi="Arial" w:cs="Arial"/>
          <w:sz w:val="20"/>
          <w:szCs w:val="20"/>
        </w:rPr>
        <w:t xml:space="preserve"> et al., who studied the regeneration of </w:t>
      </w:r>
      <w:r w:rsidRPr="00B418E8">
        <w:rPr>
          <w:rFonts w:ascii="Arial" w:hAnsi="Arial" w:cs="Arial"/>
          <w:i/>
          <w:sz w:val="20"/>
          <w:szCs w:val="20"/>
        </w:rPr>
        <w:t>in vivo</w:t>
      </w:r>
      <w:r w:rsidRPr="00B418E8">
        <w:rPr>
          <w:rFonts w:ascii="Arial" w:hAnsi="Arial" w:cs="Arial"/>
          <w:sz w:val="20"/>
          <w:szCs w:val="20"/>
        </w:rPr>
        <w:t xml:space="preserve"> rabbit cartilage after injections with undifferentiated MSCs, reported a mean score of 8.9 ± 4.7 for their control group.  Since their control group underwent an osteoarthritis induction procedure very similar to the one described here, the score for this experiment’s control group will likely fall into the same range.  </w:t>
      </w:r>
      <w:r w:rsidR="003468C2" w:rsidRPr="00B418E8">
        <w:rPr>
          <w:rFonts w:ascii="Arial" w:hAnsi="Arial" w:cs="Arial"/>
          <w:sz w:val="20"/>
          <w:szCs w:val="20"/>
        </w:rPr>
        <w:t>There is no predetermined range for the experimental groups other than they should score higher than the control groups.</w:t>
      </w:r>
    </w:p>
    <w:p w:rsidR="00562EA8" w:rsidRPr="00B418E8" w:rsidRDefault="00562EA8" w:rsidP="0085005C">
      <w:pPr>
        <w:spacing w:after="0" w:line="480" w:lineRule="auto"/>
        <w:rPr>
          <w:rFonts w:ascii="Arial" w:hAnsi="Arial" w:cs="Arial"/>
          <w:sz w:val="20"/>
          <w:szCs w:val="20"/>
        </w:rPr>
      </w:pPr>
      <w:r w:rsidRPr="00B418E8">
        <w:rPr>
          <w:rFonts w:ascii="Arial" w:hAnsi="Arial" w:cs="Arial"/>
          <w:sz w:val="20"/>
          <w:szCs w:val="20"/>
        </w:rPr>
        <w:tab/>
        <w:t>Visually, the</w:t>
      </w:r>
      <w:r w:rsidR="005402F9">
        <w:rPr>
          <w:rFonts w:ascii="Arial" w:hAnsi="Arial" w:cs="Arial"/>
          <w:sz w:val="20"/>
          <w:szCs w:val="20"/>
        </w:rPr>
        <w:t xml:space="preserve"> differences in</w:t>
      </w:r>
      <w:r w:rsidRPr="00B418E8">
        <w:rPr>
          <w:rFonts w:ascii="Arial" w:hAnsi="Arial" w:cs="Arial"/>
          <w:sz w:val="20"/>
          <w:szCs w:val="20"/>
        </w:rPr>
        <w:t xml:space="preserve"> histology between experimental and control </w:t>
      </w:r>
      <w:r w:rsidR="00EB55B9">
        <w:rPr>
          <w:rFonts w:ascii="Arial" w:hAnsi="Arial" w:cs="Arial"/>
          <w:sz w:val="20"/>
          <w:szCs w:val="20"/>
        </w:rPr>
        <w:t xml:space="preserve">groups </w:t>
      </w:r>
      <w:r w:rsidRPr="00B418E8">
        <w:rPr>
          <w:rFonts w:ascii="Arial" w:hAnsi="Arial" w:cs="Arial"/>
          <w:sz w:val="20"/>
          <w:szCs w:val="20"/>
        </w:rPr>
        <w:t>should be very noticeable.  Note the images</w:t>
      </w:r>
      <w:r w:rsidR="00EE470F">
        <w:rPr>
          <w:rFonts w:ascii="Arial" w:hAnsi="Arial" w:cs="Arial"/>
          <w:sz w:val="20"/>
          <w:szCs w:val="20"/>
        </w:rPr>
        <w:t xml:space="preserve"> (Fig. 2)</w:t>
      </w:r>
      <w:r w:rsidRPr="00B418E8">
        <w:rPr>
          <w:rFonts w:ascii="Arial" w:hAnsi="Arial" w:cs="Arial"/>
          <w:sz w:val="20"/>
          <w:szCs w:val="20"/>
        </w:rPr>
        <w:t xml:space="preserve"> taken by </w:t>
      </w:r>
      <w:proofErr w:type="spellStart"/>
      <w:r w:rsidRPr="00B418E8">
        <w:rPr>
          <w:rFonts w:ascii="Arial" w:hAnsi="Arial" w:cs="Arial"/>
          <w:sz w:val="20"/>
          <w:szCs w:val="20"/>
        </w:rPr>
        <w:t>Im</w:t>
      </w:r>
      <w:proofErr w:type="spellEnd"/>
      <w:r w:rsidRPr="00B418E8">
        <w:rPr>
          <w:rFonts w:ascii="Arial" w:hAnsi="Arial" w:cs="Arial"/>
          <w:sz w:val="20"/>
          <w:szCs w:val="20"/>
        </w:rPr>
        <w:t xml:space="preserve"> et al.; the experimental group shows a large number of chondrocytes in the defect area (denoted by the open arrow) versus the surrounding cartilage (denoted by the black arrow).  The control group, on the other hand, demonstrates a large fissure still present between the defect and surrounding cartilage, as well as a dearth of chondrocytes.</w:t>
      </w:r>
    </w:p>
    <w:p w:rsidR="00B32070" w:rsidRPr="00B418E8" w:rsidRDefault="00F86117" w:rsidP="0085005C">
      <w:pPr>
        <w:spacing w:after="0" w:line="480" w:lineRule="auto"/>
        <w:rPr>
          <w:rFonts w:ascii="Arial" w:hAnsi="Arial" w:cs="Arial"/>
          <w:sz w:val="20"/>
          <w:szCs w:val="20"/>
        </w:rPr>
      </w:pPr>
      <w:r w:rsidRPr="00B418E8">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7A711D70" wp14:editId="60833D82">
                <wp:simplePos x="0" y="0"/>
                <wp:positionH relativeFrom="column">
                  <wp:posOffset>19050</wp:posOffset>
                </wp:positionH>
                <wp:positionV relativeFrom="paragraph">
                  <wp:posOffset>2459355</wp:posOffset>
                </wp:positionV>
                <wp:extent cx="58388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noFill/>
                          <a:miter lim="800000"/>
                          <a:headEnd/>
                          <a:tailEnd/>
                        </a:ln>
                      </wps:spPr>
                      <wps:txbx>
                        <w:txbxContent>
                          <w:p w:rsidR="00F86117" w:rsidRPr="00F86117" w:rsidRDefault="002F16B0" w:rsidP="00F86117">
                            <w:pPr>
                              <w:jc w:val="center"/>
                              <w:rPr>
                                <w:rFonts w:ascii="Arial" w:hAnsi="Arial" w:cs="Arial"/>
                                <w:sz w:val="16"/>
                                <w:szCs w:val="16"/>
                              </w:rPr>
                            </w:pPr>
                            <w:proofErr w:type="gramStart"/>
                            <w:r>
                              <w:rPr>
                                <w:rFonts w:ascii="Arial" w:hAnsi="Arial" w:cs="Arial"/>
                                <w:sz w:val="16"/>
                                <w:szCs w:val="16"/>
                              </w:rPr>
                              <w:t>Figure 2</w:t>
                            </w:r>
                            <w:r w:rsidR="00F86117" w:rsidRPr="00F86117">
                              <w:rPr>
                                <w:rFonts w:ascii="Arial" w:hAnsi="Arial" w:cs="Arial"/>
                                <w:sz w:val="16"/>
                                <w:szCs w:val="16"/>
                              </w:rPr>
                              <w:t>: Histological analysis of a defect treated with MSC injection (left) versus t</w:t>
                            </w:r>
                            <w:r w:rsidR="00EE470F">
                              <w:rPr>
                                <w:rFonts w:ascii="Arial" w:hAnsi="Arial" w:cs="Arial"/>
                                <w:sz w:val="16"/>
                                <w:szCs w:val="16"/>
                              </w:rPr>
                              <w:t>he control (right) [16].</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93.65pt;width:45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" stroked="f">
                <v:textbox style="mso-fit-shape-to-text:t">
                  <w:txbxContent>
                    <w:p w:rsidR="00F86117" w:rsidRPr="00F86117" w:rsidRDefault="002F16B0" w:rsidP="00F86117">
                      <w:pPr>
                        <w:jc w:val="center"/>
                        <w:rPr>
                          <w:rFonts w:ascii="Arial" w:hAnsi="Arial" w:cs="Arial"/>
                          <w:sz w:val="16"/>
                          <w:szCs w:val="16"/>
                        </w:rPr>
                      </w:pPr>
                      <w:proofErr w:type="gramStart"/>
                      <w:r>
                        <w:rPr>
                          <w:rFonts w:ascii="Arial" w:hAnsi="Arial" w:cs="Arial"/>
                          <w:sz w:val="16"/>
                          <w:szCs w:val="16"/>
                        </w:rPr>
                        <w:t>Figure 2</w:t>
                      </w:r>
                      <w:r w:rsidR="00F86117" w:rsidRPr="00F86117">
                        <w:rPr>
                          <w:rFonts w:ascii="Arial" w:hAnsi="Arial" w:cs="Arial"/>
                          <w:sz w:val="16"/>
                          <w:szCs w:val="16"/>
                        </w:rPr>
                        <w:t>: Histological analysis of a defect treated with MSC injection (left) versus t</w:t>
                      </w:r>
                      <w:r w:rsidR="00EE470F">
                        <w:rPr>
                          <w:rFonts w:ascii="Arial" w:hAnsi="Arial" w:cs="Arial"/>
                          <w:sz w:val="16"/>
                          <w:szCs w:val="16"/>
                        </w:rPr>
                        <w:t>he control (right) [16].</w:t>
                      </w:r>
                      <w:proofErr w:type="gramEnd"/>
                    </w:p>
                  </w:txbxContent>
                </v:textbox>
              </v:shape>
            </w:pict>
          </mc:Fallback>
        </mc:AlternateContent>
      </w:r>
      <w:r w:rsidR="00B32070" w:rsidRPr="00B418E8">
        <w:rPr>
          <w:noProof/>
          <w:sz w:val="20"/>
          <w:szCs w:val="20"/>
        </w:rPr>
        <w:drawing>
          <wp:inline distT="0" distB="0" distL="0" distR="0" wp14:anchorId="25DB8CC1" wp14:editId="72B38A7F">
            <wp:extent cx="2915884"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15884" cy="2466975"/>
                    </a:xfrm>
                    <a:prstGeom prst="rect">
                      <a:avLst/>
                    </a:prstGeom>
                  </pic:spPr>
                </pic:pic>
              </a:graphicData>
            </a:graphic>
          </wp:inline>
        </w:drawing>
      </w:r>
      <w:r w:rsidR="00B32070" w:rsidRPr="00B418E8">
        <w:rPr>
          <w:noProof/>
          <w:sz w:val="20"/>
          <w:szCs w:val="20"/>
        </w:rPr>
        <w:t xml:space="preserve"> </w:t>
      </w:r>
      <w:r w:rsidR="00B32070" w:rsidRPr="00B418E8">
        <w:rPr>
          <w:noProof/>
          <w:sz w:val="20"/>
          <w:szCs w:val="20"/>
        </w:rPr>
        <w:drawing>
          <wp:inline distT="0" distB="0" distL="0" distR="0" wp14:anchorId="6CD527CA" wp14:editId="486461C0">
            <wp:extent cx="2894015" cy="246455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96195" cy="2466408"/>
                    </a:xfrm>
                    <a:prstGeom prst="rect">
                      <a:avLst/>
                    </a:prstGeom>
                  </pic:spPr>
                </pic:pic>
              </a:graphicData>
            </a:graphic>
          </wp:inline>
        </w:drawing>
      </w:r>
    </w:p>
    <w:p w:rsidR="00B32070" w:rsidRPr="00B418E8" w:rsidRDefault="00B32070" w:rsidP="0085005C">
      <w:pPr>
        <w:spacing w:after="0" w:line="480" w:lineRule="auto"/>
        <w:rPr>
          <w:rFonts w:ascii="Arial" w:hAnsi="Arial" w:cs="Arial"/>
          <w:sz w:val="20"/>
          <w:szCs w:val="20"/>
        </w:rPr>
      </w:pPr>
    </w:p>
    <w:p w:rsidR="00E25BD2" w:rsidRDefault="00E25BD2" w:rsidP="0085005C">
      <w:pPr>
        <w:spacing w:after="0" w:line="480" w:lineRule="auto"/>
        <w:rPr>
          <w:rFonts w:ascii="Arial" w:hAnsi="Arial" w:cs="Arial"/>
          <w:sz w:val="20"/>
          <w:szCs w:val="20"/>
        </w:rPr>
      </w:pPr>
      <w:r w:rsidRPr="00B418E8">
        <w:rPr>
          <w:rFonts w:ascii="Arial" w:hAnsi="Arial" w:cs="Arial"/>
          <w:sz w:val="20"/>
          <w:szCs w:val="20"/>
        </w:rPr>
        <w:tab/>
        <w:t xml:space="preserve">RT-PCR should show a large amount of the production of collagen II and </w:t>
      </w:r>
      <w:proofErr w:type="spellStart"/>
      <w:r w:rsidRPr="00B418E8">
        <w:rPr>
          <w:rFonts w:ascii="Arial" w:hAnsi="Arial" w:cs="Arial"/>
          <w:sz w:val="20"/>
          <w:szCs w:val="20"/>
        </w:rPr>
        <w:t>aggrecan</w:t>
      </w:r>
      <w:proofErr w:type="spellEnd"/>
      <w:r w:rsidRPr="00B418E8">
        <w:rPr>
          <w:rFonts w:ascii="Arial" w:hAnsi="Arial" w:cs="Arial"/>
          <w:sz w:val="20"/>
          <w:szCs w:val="20"/>
        </w:rPr>
        <w:t xml:space="preserve"> in the experimental tissue over samples from the control.</w:t>
      </w:r>
      <w:r w:rsidR="006160D0" w:rsidRPr="00B418E8">
        <w:rPr>
          <w:rFonts w:ascii="Arial" w:hAnsi="Arial" w:cs="Arial"/>
          <w:sz w:val="20"/>
          <w:szCs w:val="20"/>
        </w:rPr>
        <w:t xml:space="preserve">  In addition, as demonstrated by Huang et al. [</w:t>
      </w:r>
      <w:r w:rsidR="00A40440">
        <w:rPr>
          <w:rFonts w:ascii="Arial" w:hAnsi="Arial" w:cs="Arial"/>
          <w:sz w:val="20"/>
          <w:szCs w:val="20"/>
        </w:rPr>
        <w:t>11</w:t>
      </w:r>
      <w:r w:rsidR="006160D0" w:rsidRPr="00B418E8">
        <w:rPr>
          <w:rFonts w:ascii="Arial" w:hAnsi="Arial" w:cs="Arial"/>
          <w:sz w:val="20"/>
          <w:szCs w:val="20"/>
        </w:rPr>
        <w:t xml:space="preserve">], the samples that received injections of chondrocytes that underwent mechanical stimulation in addition to growth factor culture should show higher amounts of collagen II and </w:t>
      </w:r>
      <w:proofErr w:type="spellStart"/>
      <w:r w:rsidR="006160D0" w:rsidRPr="00B418E8">
        <w:rPr>
          <w:rFonts w:ascii="Arial" w:hAnsi="Arial" w:cs="Arial"/>
          <w:sz w:val="20"/>
          <w:szCs w:val="20"/>
        </w:rPr>
        <w:t>aggrecan</w:t>
      </w:r>
      <w:proofErr w:type="spellEnd"/>
      <w:r w:rsidR="006160D0" w:rsidRPr="00B418E8">
        <w:rPr>
          <w:rFonts w:ascii="Arial" w:hAnsi="Arial" w:cs="Arial"/>
          <w:sz w:val="20"/>
          <w:szCs w:val="20"/>
        </w:rPr>
        <w:t xml:space="preserve"> being produced.</w:t>
      </w:r>
    </w:p>
    <w:p w:rsidR="003F58F8" w:rsidRDefault="003F58F8" w:rsidP="0085005C">
      <w:pPr>
        <w:spacing w:after="0" w:line="480" w:lineRule="auto"/>
        <w:rPr>
          <w:rFonts w:ascii="Arial" w:hAnsi="Arial" w:cs="Arial"/>
          <w:sz w:val="20"/>
          <w:szCs w:val="20"/>
        </w:rPr>
      </w:pPr>
    </w:p>
    <w:p w:rsidR="003F58F8" w:rsidRDefault="003F58F8" w:rsidP="0085005C">
      <w:pPr>
        <w:spacing w:after="0" w:line="480" w:lineRule="auto"/>
        <w:rPr>
          <w:rFonts w:ascii="Arial" w:hAnsi="Arial" w:cs="Arial"/>
          <w:b/>
          <w:sz w:val="20"/>
          <w:szCs w:val="20"/>
        </w:rPr>
      </w:pPr>
      <w:r>
        <w:rPr>
          <w:rFonts w:ascii="Arial" w:hAnsi="Arial" w:cs="Arial"/>
          <w:b/>
          <w:sz w:val="20"/>
          <w:szCs w:val="20"/>
        </w:rPr>
        <w:t>CHALLENGES</w:t>
      </w:r>
    </w:p>
    <w:p w:rsidR="003F58F8" w:rsidRDefault="003F58F8" w:rsidP="0085005C">
      <w:pPr>
        <w:spacing w:after="0" w:line="480" w:lineRule="auto"/>
        <w:rPr>
          <w:rFonts w:ascii="Arial" w:hAnsi="Arial" w:cs="Arial"/>
          <w:sz w:val="20"/>
          <w:szCs w:val="20"/>
        </w:rPr>
      </w:pPr>
      <w:r>
        <w:rPr>
          <w:rFonts w:ascii="Arial" w:hAnsi="Arial" w:cs="Arial"/>
          <w:sz w:val="20"/>
          <w:szCs w:val="20"/>
        </w:rPr>
        <w:tab/>
        <w:t>One challenge faced by this procedure is that the rabbit knee is not an accurate model of human physiology.  However, if this research produces promising results, testing on a larger, more expensive model may commence.  Goats [12] are also used as models in cartilage regeneration research, usually after evaluation trials with rabbits have been completed.  Unlike rabbit</w:t>
      </w:r>
      <w:r w:rsidR="00237551">
        <w:rPr>
          <w:rFonts w:ascii="Arial" w:hAnsi="Arial" w:cs="Arial"/>
          <w:sz w:val="20"/>
          <w:szCs w:val="20"/>
        </w:rPr>
        <w:t>s</w:t>
      </w:r>
      <w:r>
        <w:rPr>
          <w:rFonts w:ascii="Arial" w:hAnsi="Arial" w:cs="Arial"/>
          <w:sz w:val="20"/>
          <w:szCs w:val="20"/>
        </w:rPr>
        <w:t>, goats have a knee structure that is more closely related to that of humans.</w:t>
      </w:r>
    </w:p>
    <w:p w:rsidR="0067103B" w:rsidRDefault="0067103B" w:rsidP="0085005C">
      <w:pPr>
        <w:spacing w:after="0" w:line="480" w:lineRule="auto"/>
        <w:rPr>
          <w:rFonts w:ascii="Arial" w:hAnsi="Arial" w:cs="Arial"/>
          <w:sz w:val="20"/>
          <w:szCs w:val="20"/>
        </w:rPr>
      </w:pPr>
      <w:r>
        <w:rPr>
          <w:rFonts w:ascii="Arial" w:hAnsi="Arial" w:cs="Arial"/>
          <w:sz w:val="20"/>
          <w:szCs w:val="20"/>
        </w:rPr>
        <w:tab/>
        <w:t>Another challenge is the inclusion of a novel bioreactor.  Since this bioreactor is not commercially available, other research groups may have a difficult time replicating this procedure without the exact same design.</w:t>
      </w:r>
    </w:p>
    <w:p w:rsidR="00B418E8" w:rsidRPr="00B418E8" w:rsidRDefault="00237551" w:rsidP="001E2225">
      <w:pPr>
        <w:spacing w:after="0" w:line="480" w:lineRule="auto"/>
        <w:rPr>
          <w:rFonts w:ascii="Arial" w:hAnsi="Arial" w:cs="Arial"/>
          <w:sz w:val="20"/>
          <w:szCs w:val="20"/>
        </w:rPr>
      </w:pPr>
      <w:r>
        <w:rPr>
          <w:rFonts w:ascii="Arial" w:hAnsi="Arial" w:cs="Arial"/>
          <w:sz w:val="20"/>
          <w:szCs w:val="20"/>
        </w:rPr>
        <w:tab/>
        <w:t>Lastly, the behavior of the HSC-derived chondrocytes may be unpredictable.  They may, for example, continue to grow irregular cartilage after the defect has healed.  If a response like this should occur in a significant number of models, more research about the chemical signals that control cartilage growth may be needed.</w:t>
      </w:r>
      <w:bookmarkStart w:id="0" w:name="_GoBack"/>
      <w:bookmarkEnd w:id="0"/>
      <w:r w:rsidR="00B418E8" w:rsidRPr="00B418E8">
        <w:rPr>
          <w:rFonts w:ascii="Arial" w:hAnsi="Arial" w:cs="Arial"/>
          <w:sz w:val="20"/>
          <w:szCs w:val="20"/>
        </w:rPr>
        <w:br w:type="page"/>
      </w:r>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lastRenderedPageBreak/>
        <w:t>References</w:t>
      </w:r>
    </w:p>
    <w:p w:rsidR="00B418E8" w:rsidRPr="00B418E8" w:rsidRDefault="005125D7" w:rsidP="00B418E8">
      <w:pPr>
        <w:spacing w:after="0" w:line="480" w:lineRule="auto"/>
        <w:rPr>
          <w:rFonts w:ascii="Arial" w:hAnsi="Arial" w:cs="Arial"/>
          <w:sz w:val="20"/>
          <w:szCs w:val="20"/>
        </w:rPr>
      </w:pPr>
      <w:r>
        <w:rPr>
          <w:rFonts w:ascii="Arial" w:hAnsi="Arial" w:cs="Arial"/>
          <w:sz w:val="20"/>
          <w:szCs w:val="20"/>
        </w:rPr>
        <w:t>*</w:t>
      </w:r>
      <w:r w:rsidR="00B418E8" w:rsidRPr="00B418E8">
        <w:rPr>
          <w:rFonts w:ascii="Arial" w:hAnsi="Arial" w:cs="Arial"/>
          <w:sz w:val="20"/>
          <w:szCs w:val="20"/>
        </w:rPr>
        <w:t>[1</w:t>
      </w:r>
      <w:proofErr w:type="gramStart"/>
      <w:r w:rsidR="00B418E8" w:rsidRPr="00B418E8">
        <w:rPr>
          <w:rFonts w:ascii="Arial" w:hAnsi="Arial" w:cs="Arial"/>
          <w:sz w:val="20"/>
          <w:szCs w:val="20"/>
        </w:rPr>
        <w:t>]  "</w:t>
      </w:r>
      <w:proofErr w:type="gramEnd"/>
      <w:r w:rsidR="00B418E8" w:rsidRPr="00B418E8">
        <w:rPr>
          <w:rFonts w:ascii="Arial" w:hAnsi="Arial" w:cs="Arial"/>
          <w:sz w:val="20"/>
          <w:szCs w:val="20"/>
        </w:rPr>
        <w:t xml:space="preserve">Histology Text Atlas Book." </w:t>
      </w:r>
      <w:proofErr w:type="gramStart"/>
      <w:r w:rsidR="00B418E8" w:rsidRPr="00B418E8">
        <w:rPr>
          <w:rFonts w:ascii="Arial" w:hAnsi="Arial" w:cs="Arial"/>
          <w:sz w:val="20"/>
          <w:szCs w:val="20"/>
        </w:rPr>
        <w:t>Visual Histology (Cytology) Teaching Series.</w:t>
      </w:r>
      <w:proofErr w:type="gramEnd"/>
      <w:r w:rsidR="00B418E8" w:rsidRPr="00B418E8">
        <w:rPr>
          <w:rFonts w:ascii="Arial" w:hAnsi="Arial" w:cs="Arial"/>
          <w:sz w:val="20"/>
          <w:szCs w:val="20"/>
        </w:rPr>
        <w:t xml:space="preserve">  </w:t>
      </w:r>
      <w:proofErr w:type="gramStart"/>
      <w:r w:rsidR="00B418E8" w:rsidRPr="00B418E8">
        <w:rPr>
          <w:rFonts w:ascii="Arial" w:hAnsi="Arial" w:cs="Arial"/>
          <w:sz w:val="20"/>
          <w:szCs w:val="20"/>
        </w:rPr>
        <w:t>Accessed 15 Dec. 2012.</w:t>
      </w:r>
      <w:proofErr w:type="gramEnd"/>
      <w:r w:rsidR="00B418E8" w:rsidRPr="00B418E8">
        <w:rPr>
          <w:rFonts w:ascii="Arial" w:hAnsi="Arial" w:cs="Arial"/>
          <w:sz w:val="20"/>
          <w:szCs w:val="20"/>
        </w:rPr>
        <w:t xml:space="preserve"> &lt; http://www.visualhistology.com/products/atlas/VHA_Chpt5_Cartilage.html&gt;</w:t>
      </w:r>
    </w:p>
    <w:p w:rsidR="00B418E8" w:rsidRPr="00B418E8" w:rsidRDefault="00B418E8" w:rsidP="00B418E8">
      <w:pPr>
        <w:spacing w:after="0" w:line="480" w:lineRule="auto"/>
        <w:rPr>
          <w:rFonts w:ascii="Arial" w:hAnsi="Arial" w:cs="Arial"/>
          <w:sz w:val="20"/>
          <w:szCs w:val="20"/>
        </w:rPr>
      </w:pPr>
      <w:proofErr w:type="gramStart"/>
      <w:r w:rsidRPr="00B418E8">
        <w:rPr>
          <w:rFonts w:ascii="Arial" w:hAnsi="Arial" w:cs="Arial"/>
          <w:sz w:val="20"/>
          <w:szCs w:val="20"/>
        </w:rPr>
        <w:t>[2] S. N. Redman, S. F. Oldfield, and C. W, Archer.</w:t>
      </w:r>
      <w:proofErr w:type="gramEnd"/>
      <w:r w:rsidRPr="00B418E8">
        <w:rPr>
          <w:rFonts w:ascii="Arial" w:hAnsi="Arial" w:cs="Arial"/>
          <w:sz w:val="20"/>
          <w:szCs w:val="20"/>
        </w:rPr>
        <w:t xml:space="preserve"> </w:t>
      </w:r>
      <w:proofErr w:type="gramStart"/>
      <w:r w:rsidRPr="00B418E8">
        <w:rPr>
          <w:rFonts w:ascii="Arial" w:hAnsi="Arial" w:cs="Arial"/>
          <w:sz w:val="20"/>
          <w:szCs w:val="20"/>
        </w:rPr>
        <w:t>"Current Strategies for Articular Cartilage Repair."</w:t>
      </w:r>
      <w:proofErr w:type="gramEnd"/>
      <w:r w:rsidRPr="00B418E8">
        <w:rPr>
          <w:rFonts w:ascii="Arial" w:hAnsi="Arial" w:cs="Arial"/>
          <w:sz w:val="20"/>
          <w:szCs w:val="20"/>
        </w:rPr>
        <w:t xml:space="preserve"> European Cells and Materials 9 (2005): 23-32.</w:t>
      </w:r>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t>[3</w:t>
      </w:r>
      <w:proofErr w:type="gramStart"/>
      <w:r w:rsidRPr="00B418E8">
        <w:rPr>
          <w:rFonts w:ascii="Arial" w:hAnsi="Arial" w:cs="Arial"/>
          <w:sz w:val="20"/>
          <w:szCs w:val="20"/>
        </w:rPr>
        <w:t>]  C</w:t>
      </w:r>
      <w:proofErr w:type="gramEnd"/>
      <w:r w:rsidRPr="00B418E8">
        <w:rPr>
          <w:rFonts w:ascii="Arial" w:hAnsi="Arial" w:cs="Arial"/>
          <w:sz w:val="20"/>
          <w:szCs w:val="20"/>
        </w:rPr>
        <w:t xml:space="preserve">. Chung, and J. A. Burdick. </w:t>
      </w:r>
      <w:proofErr w:type="gramStart"/>
      <w:r w:rsidRPr="00B418E8">
        <w:rPr>
          <w:rFonts w:ascii="Arial" w:hAnsi="Arial" w:cs="Arial"/>
          <w:sz w:val="20"/>
          <w:szCs w:val="20"/>
        </w:rPr>
        <w:t>"Engineering Cartilage Tissue."</w:t>
      </w:r>
      <w:proofErr w:type="gramEnd"/>
      <w:r w:rsidRPr="00B418E8">
        <w:rPr>
          <w:rFonts w:ascii="Arial" w:hAnsi="Arial" w:cs="Arial"/>
          <w:sz w:val="20"/>
          <w:szCs w:val="20"/>
        </w:rPr>
        <w:t xml:space="preserve"> Advanced Drug Delivery Reviews 60.2 (2008): 243-62.</w:t>
      </w:r>
    </w:p>
    <w:p w:rsidR="00B418E8" w:rsidRPr="00B418E8" w:rsidRDefault="00B418E8" w:rsidP="00B418E8">
      <w:pPr>
        <w:spacing w:after="0" w:line="480" w:lineRule="auto"/>
        <w:rPr>
          <w:rFonts w:ascii="Arial" w:hAnsi="Arial" w:cs="Arial"/>
          <w:sz w:val="20"/>
          <w:szCs w:val="20"/>
        </w:rPr>
      </w:pPr>
      <w:proofErr w:type="gramStart"/>
      <w:r w:rsidRPr="00B418E8">
        <w:rPr>
          <w:rFonts w:ascii="Arial" w:hAnsi="Arial" w:cs="Arial"/>
          <w:sz w:val="20"/>
          <w:szCs w:val="20"/>
        </w:rPr>
        <w:t xml:space="preserve">[4] M. F. </w:t>
      </w:r>
      <w:proofErr w:type="spellStart"/>
      <w:r w:rsidRPr="00B418E8">
        <w:rPr>
          <w:rFonts w:ascii="Arial" w:hAnsi="Arial" w:cs="Arial"/>
          <w:sz w:val="20"/>
          <w:szCs w:val="20"/>
        </w:rPr>
        <w:t>Pittenger</w:t>
      </w:r>
      <w:proofErr w:type="spellEnd"/>
      <w:r w:rsidRPr="00B418E8">
        <w:rPr>
          <w:rFonts w:ascii="Arial" w:hAnsi="Arial" w:cs="Arial"/>
          <w:sz w:val="20"/>
          <w:szCs w:val="20"/>
        </w:rPr>
        <w:t xml:space="preserve">, A. M. Mackey, S. C. Beck, R. K. </w:t>
      </w:r>
      <w:proofErr w:type="spellStart"/>
      <w:r w:rsidRPr="00B418E8">
        <w:rPr>
          <w:rFonts w:ascii="Arial" w:hAnsi="Arial" w:cs="Arial"/>
          <w:sz w:val="20"/>
          <w:szCs w:val="20"/>
        </w:rPr>
        <w:t>Jaiswal</w:t>
      </w:r>
      <w:proofErr w:type="spellEnd"/>
      <w:r w:rsidRPr="00B418E8">
        <w:rPr>
          <w:rFonts w:ascii="Arial" w:hAnsi="Arial" w:cs="Arial"/>
          <w:sz w:val="20"/>
          <w:szCs w:val="20"/>
        </w:rPr>
        <w:t xml:space="preserve">, R. Douglas, J. D. </w:t>
      </w:r>
      <w:proofErr w:type="spellStart"/>
      <w:r w:rsidRPr="00B418E8">
        <w:rPr>
          <w:rFonts w:ascii="Arial" w:hAnsi="Arial" w:cs="Arial"/>
          <w:sz w:val="20"/>
          <w:szCs w:val="20"/>
        </w:rPr>
        <w:t>Mosca</w:t>
      </w:r>
      <w:proofErr w:type="spellEnd"/>
      <w:r w:rsidRPr="00B418E8">
        <w:rPr>
          <w:rFonts w:ascii="Arial" w:hAnsi="Arial" w:cs="Arial"/>
          <w:sz w:val="20"/>
          <w:szCs w:val="20"/>
        </w:rPr>
        <w:t xml:space="preserve">, M. A. Moorman, D. W. </w:t>
      </w:r>
      <w:proofErr w:type="spellStart"/>
      <w:r w:rsidRPr="00B418E8">
        <w:rPr>
          <w:rFonts w:ascii="Arial" w:hAnsi="Arial" w:cs="Arial"/>
          <w:sz w:val="20"/>
          <w:szCs w:val="20"/>
        </w:rPr>
        <w:t>Simonetti</w:t>
      </w:r>
      <w:proofErr w:type="spellEnd"/>
      <w:r w:rsidRPr="00B418E8">
        <w:rPr>
          <w:rFonts w:ascii="Arial" w:hAnsi="Arial" w:cs="Arial"/>
          <w:sz w:val="20"/>
          <w:szCs w:val="20"/>
        </w:rPr>
        <w:t xml:space="preserve">, S. Craig, and D. R. </w:t>
      </w:r>
      <w:proofErr w:type="spellStart"/>
      <w:r w:rsidRPr="00B418E8">
        <w:rPr>
          <w:rFonts w:ascii="Arial" w:hAnsi="Arial" w:cs="Arial"/>
          <w:sz w:val="20"/>
          <w:szCs w:val="20"/>
        </w:rPr>
        <w:t>Marshak</w:t>
      </w:r>
      <w:proofErr w:type="spellEnd"/>
      <w:r w:rsidRPr="00B418E8">
        <w:rPr>
          <w:rFonts w:ascii="Arial" w:hAnsi="Arial" w:cs="Arial"/>
          <w:sz w:val="20"/>
          <w:szCs w:val="20"/>
        </w:rPr>
        <w:t>.</w:t>
      </w:r>
      <w:proofErr w:type="gramEnd"/>
      <w:r w:rsidRPr="00B418E8">
        <w:rPr>
          <w:rFonts w:ascii="Arial" w:hAnsi="Arial" w:cs="Arial"/>
          <w:sz w:val="20"/>
          <w:szCs w:val="20"/>
        </w:rPr>
        <w:t xml:space="preserve"> </w:t>
      </w:r>
      <w:proofErr w:type="gramStart"/>
      <w:r w:rsidRPr="00B418E8">
        <w:rPr>
          <w:rFonts w:ascii="Arial" w:hAnsi="Arial" w:cs="Arial"/>
          <w:sz w:val="20"/>
          <w:szCs w:val="20"/>
        </w:rPr>
        <w:t>"</w:t>
      </w:r>
      <w:proofErr w:type="spellStart"/>
      <w:r w:rsidRPr="00B418E8">
        <w:rPr>
          <w:rFonts w:ascii="Arial" w:hAnsi="Arial" w:cs="Arial"/>
          <w:sz w:val="20"/>
          <w:szCs w:val="20"/>
        </w:rPr>
        <w:t>Multilineage</w:t>
      </w:r>
      <w:proofErr w:type="spellEnd"/>
      <w:r w:rsidRPr="00B418E8">
        <w:rPr>
          <w:rFonts w:ascii="Arial" w:hAnsi="Arial" w:cs="Arial"/>
          <w:sz w:val="20"/>
          <w:szCs w:val="20"/>
        </w:rPr>
        <w:t xml:space="preserve"> Potential of Adult Human Mesenchymal Stem Cells."</w:t>
      </w:r>
      <w:proofErr w:type="gramEnd"/>
      <w:r w:rsidRPr="00B418E8">
        <w:rPr>
          <w:rFonts w:ascii="Arial" w:hAnsi="Arial" w:cs="Arial"/>
          <w:sz w:val="20"/>
          <w:szCs w:val="20"/>
        </w:rPr>
        <w:t xml:space="preserve"> Science 284.5411 (1999): 143-47.</w:t>
      </w:r>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t>[5] F. P. Barry, and J. M. Murphy. "Mesenchymal Stem Cells: Clinical Applications and Biological Characterization." The International Journal of Biochemistry &amp; Cell Biology 36.4 (2004): 568-84</w:t>
      </w:r>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t xml:space="preserve">[6] A. E. </w:t>
      </w:r>
      <w:proofErr w:type="spellStart"/>
      <w:r w:rsidRPr="00B418E8">
        <w:rPr>
          <w:rFonts w:ascii="Arial" w:hAnsi="Arial" w:cs="Arial"/>
          <w:sz w:val="20"/>
          <w:szCs w:val="20"/>
        </w:rPr>
        <w:t>Karnoub</w:t>
      </w:r>
      <w:proofErr w:type="spellEnd"/>
      <w:r w:rsidRPr="00B418E8">
        <w:rPr>
          <w:rFonts w:ascii="Arial" w:hAnsi="Arial" w:cs="Arial"/>
          <w:sz w:val="20"/>
          <w:szCs w:val="20"/>
        </w:rPr>
        <w:t xml:space="preserve">, A. B. Dash, A. P. Vo, A. Sullivan, M. W. Brooks, G. W. Bell, A. L. Richardson, K. </w:t>
      </w:r>
      <w:proofErr w:type="spellStart"/>
      <w:r w:rsidRPr="00B418E8">
        <w:rPr>
          <w:rFonts w:ascii="Arial" w:hAnsi="Arial" w:cs="Arial"/>
          <w:sz w:val="20"/>
          <w:szCs w:val="20"/>
        </w:rPr>
        <w:t>Polyak</w:t>
      </w:r>
      <w:proofErr w:type="spellEnd"/>
      <w:r w:rsidRPr="00B418E8">
        <w:rPr>
          <w:rFonts w:ascii="Arial" w:hAnsi="Arial" w:cs="Arial"/>
          <w:sz w:val="20"/>
          <w:szCs w:val="20"/>
        </w:rPr>
        <w:t xml:space="preserve">, R. </w:t>
      </w:r>
      <w:proofErr w:type="spellStart"/>
      <w:r w:rsidRPr="00B418E8">
        <w:rPr>
          <w:rFonts w:ascii="Arial" w:hAnsi="Arial" w:cs="Arial"/>
          <w:sz w:val="20"/>
          <w:szCs w:val="20"/>
        </w:rPr>
        <w:t>Tubo</w:t>
      </w:r>
      <w:proofErr w:type="spellEnd"/>
      <w:r w:rsidRPr="00B418E8">
        <w:rPr>
          <w:rFonts w:ascii="Arial" w:hAnsi="Arial" w:cs="Arial"/>
          <w:sz w:val="20"/>
          <w:szCs w:val="20"/>
        </w:rPr>
        <w:t xml:space="preserve">, and R. A. Weinberg. "Mesenchymal Stem Cells within </w:t>
      </w:r>
      <w:proofErr w:type="spellStart"/>
      <w:r w:rsidRPr="00B418E8">
        <w:rPr>
          <w:rFonts w:ascii="Arial" w:hAnsi="Arial" w:cs="Arial"/>
          <w:sz w:val="20"/>
          <w:szCs w:val="20"/>
        </w:rPr>
        <w:t>Tumour</w:t>
      </w:r>
      <w:proofErr w:type="spellEnd"/>
      <w:r w:rsidRPr="00B418E8">
        <w:rPr>
          <w:rFonts w:ascii="Arial" w:hAnsi="Arial" w:cs="Arial"/>
          <w:sz w:val="20"/>
          <w:szCs w:val="20"/>
        </w:rPr>
        <w:t xml:space="preserve"> </w:t>
      </w:r>
      <w:proofErr w:type="spellStart"/>
      <w:r w:rsidRPr="00B418E8">
        <w:rPr>
          <w:rFonts w:ascii="Arial" w:hAnsi="Arial" w:cs="Arial"/>
          <w:sz w:val="20"/>
          <w:szCs w:val="20"/>
        </w:rPr>
        <w:t>Stroma</w:t>
      </w:r>
      <w:proofErr w:type="spellEnd"/>
      <w:r w:rsidRPr="00B418E8">
        <w:rPr>
          <w:rFonts w:ascii="Arial" w:hAnsi="Arial" w:cs="Arial"/>
          <w:sz w:val="20"/>
          <w:szCs w:val="20"/>
        </w:rPr>
        <w:t xml:space="preserve"> Promote Breast Cancer Metastasis." Nature 449.7162 (2007): 557-63.</w:t>
      </w:r>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t xml:space="preserve">[7] C. </w:t>
      </w:r>
      <w:proofErr w:type="spellStart"/>
      <w:r w:rsidRPr="00B418E8">
        <w:rPr>
          <w:rFonts w:ascii="Arial" w:hAnsi="Arial" w:cs="Arial"/>
          <w:sz w:val="20"/>
          <w:szCs w:val="20"/>
        </w:rPr>
        <w:t>Guo</w:t>
      </w:r>
      <w:proofErr w:type="spellEnd"/>
      <w:r w:rsidRPr="00B418E8">
        <w:rPr>
          <w:rFonts w:ascii="Arial" w:hAnsi="Arial" w:cs="Arial"/>
          <w:sz w:val="20"/>
          <w:szCs w:val="20"/>
        </w:rPr>
        <w:t xml:space="preserve">, X. Liu, J. </w:t>
      </w:r>
      <w:proofErr w:type="spellStart"/>
      <w:r w:rsidRPr="00B418E8">
        <w:rPr>
          <w:rFonts w:ascii="Arial" w:hAnsi="Arial" w:cs="Arial"/>
          <w:sz w:val="20"/>
          <w:szCs w:val="20"/>
        </w:rPr>
        <w:t>Huo</w:t>
      </w:r>
      <w:proofErr w:type="spellEnd"/>
      <w:r w:rsidRPr="00B418E8">
        <w:rPr>
          <w:rFonts w:ascii="Arial" w:hAnsi="Arial" w:cs="Arial"/>
          <w:sz w:val="20"/>
          <w:szCs w:val="20"/>
        </w:rPr>
        <w:t xml:space="preserve">, C. Jiang, X. Wen, and Z. Chen. </w:t>
      </w:r>
      <w:proofErr w:type="gramStart"/>
      <w:r w:rsidRPr="00B418E8">
        <w:rPr>
          <w:rFonts w:ascii="Arial" w:hAnsi="Arial" w:cs="Arial"/>
          <w:sz w:val="20"/>
          <w:szCs w:val="20"/>
        </w:rPr>
        <w:t>"Novel Gene-modified-tissue Engineering of Cartilage Using Stable Transforming Growth Factor-β1-transfected Mesenchymal Stem Cells Grown on Chitosan Scaffolds."</w:t>
      </w:r>
      <w:proofErr w:type="gramEnd"/>
      <w:r w:rsidRPr="00B418E8">
        <w:rPr>
          <w:rFonts w:ascii="Arial" w:hAnsi="Arial" w:cs="Arial"/>
          <w:sz w:val="20"/>
          <w:szCs w:val="20"/>
        </w:rPr>
        <w:t xml:space="preserve"> Journal of Bioscience and Bioengineering 103.6 (2007): 547-56.</w:t>
      </w:r>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t xml:space="preserve">[8] P. J. </w:t>
      </w:r>
      <w:proofErr w:type="gramStart"/>
      <w:r w:rsidRPr="00B418E8">
        <w:rPr>
          <w:rFonts w:ascii="Arial" w:hAnsi="Arial" w:cs="Arial"/>
          <w:sz w:val="20"/>
          <w:szCs w:val="20"/>
        </w:rPr>
        <w:t>Prendergast,</w:t>
      </w:r>
      <w:proofErr w:type="gramEnd"/>
      <w:r w:rsidRPr="00B418E8">
        <w:rPr>
          <w:rFonts w:ascii="Arial" w:hAnsi="Arial" w:cs="Arial"/>
          <w:sz w:val="20"/>
          <w:szCs w:val="20"/>
        </w:rPr>
        <w:t xml:space="preserve"> and P. E. McHugh. "Chapter IV: The State-of-the-Art in Cartilage Bioreactors." Topics in Bio-mechanical Engineering: Proceedings of the 1st Symposium on Biomechanical Engineering Held between the Trinity Centre for Bioengineering and the National Centre for Biomedical Engineering Science under the </w:t>
      </w:r>
      <w:proofErr w:type="spellStart"/>
      <w:r w:rsidRPr="00B418E8">
        <w:rPr>
          <w:rFonts w:ascii="Arial" w:hAnsi="Arial" w:cs="Arial"/>
          <w:sz w:val="20"/>
          <w:szCs w:val="20"/>
        </w:rPr>
        <w:t>Programme</w:t>
      </w:r>
      <w:proofErr w:type="spellEnd"/>
      <w:r w:rsidRPr="00B418E8">
        <w:rPr>
          <w:rFonts w:ascii="Arial" w:hAnsi="Arial" w:cs="Arial"/>
          <w:sz w:val="20"/>
          <w:szCs w:val="20"/>
        </w:rPr>
        <w:t xml:space="preserve"> for Research in Third Level Institutions. Dublin: TCBE, 2004. </w:t>
      </w:r>
      <w:proofErr w:type="gramStart"/>
      <w:r w:rsidRPr="00B418E8">
        <w:rPr>
          <w:rFonts w:ascii="Arial" w:hAnsi="Arial" w:cs="Arial"/>
          <w:sz w:val="20"/>
          <w:szCs w:val="20"/>
        </w:rPr>
        <w:t>94-146.</w:t>
      </w:r>
      <w:proofErr w:type="gramEnd"/>
    </w:p>
    <w:p w:rsidR="00B418E8" w:rsidRPr="00B418E8" w:rsidRDefault="00B418E8" w:rsidP="00B418E8">
      <w:pPr>
        <w:spacing w:after="0" w:line="480" w:lineRule="auto"/>
        <w:rPr>
          <w:rFonts w:ascii="Arial" w:hAnsi="Arial" w:cs="Arial"/>
          <w:sz w:val="20"/>
          <w:szCs w:val="20"/>
        </w:rPr>
      </w:pPr>
      <w:proofErr w:type="gramStart"/>
      <w:r w:rsidRPr="00B418E8">
        <w:rPr>
          <w:rFonts w:ascii="Arial" w:hAnsi="Arial" w:cs="Arial"/>
          <w:sz w:val="20"/>
          <w:szCs w:val="20"/>
        </w:rPr>
        <w:t xml:space="preserve">[9] A. H. Huang, M. J. Farrell, M. Kim, and R. L. </w:t>
      </w:r>
      <w:proofErr w:type="spellStart"/>
      <w:r w:rsidRPr="00B418E8">
        <w:rPr>
          <w:rFonts w:ascii="Arial" w:hAnsi="Arial" w:cs="Arial"/>
          <w:sz w:val="20"/>
          <w:szCs w:val="20"/>
        </w:rPr>
        <w:t>Mauck</w:t>
      </w:r>
      <w:proofErr w:type="spellEnd"/>
      <w:r w:rsidRPr="00B418E8">
        <w:rPr>
          <w:rFonts w:ascii="Arial" w:hAnsi="Arial" w:cs="Arial"/>
          <w:sz w:val="20"/>
          <w:szCs w:val="20"/>
        </w:rPr>
        <w:t>.</w:t>
      </w:r>
      <w:proofErr w:type="gramEnd"/>
      <w:r w:rsidRPr="00B418E8">
        <w:rPr>
          <w:rFonts w:ascii="Arial" w:hAnsi="Arial" w:cs="Arial"/>
          <w:sz w:val="20"/>
          <w:szCs w:val="20"/>
        </w:rPr>
        <w:t xml:space="preserve"> "Long-Term Dynamic Loading Improves the Mechanical Properties of </w:t>
      </w:r>
      <w:proofErr w:type="spellStart"/>
      <w:r w:rsidRPr="00B418E8">
        <w:rPr>
          <w:rFonts w:ascii="Arial" w:hAnsi="Arial" w:cs="Arial"/>
          <w:sz w:val="20"/>
          <w:szCs w:val="20"/>
        </w:rPr>
        <w:t>Chondrogenic</w:t>
      </w:r>
      <w:proofErr w:type="spellEnd"/>
      <w:r w:rsidRPr="00B418E8">
        <w:rPr>
          <w:rFonts w:ascii="Arial" w:hAnsi="Arial" w:cs="Arial"/>
          <w:sz w:val="20"/>
          <w:szCs w:val="20"/>
        </w:rPr>
        <w:t xml:space="preserve"> Mesenchymal Stem Cell-Laden Hydrogels." European Cells and Materials 19 (2010): 72-85.</w:t>
      </w:r>
    </w:p>
    <w:p w:rsidR="00A40440" w:rsidRDefault="00B418E8" w:rsidP="00B418E8">
      <w:pPr>
        <w:spacing w:after="0" w:line="480" w:lineRule="auto"/>
        <w:rPr>
          <w:rFonts w:ascii="Arial" w:hAnsi="Arial" w:cs="Arial"/>
          <w:sz w:val="20"/>
          <w:szCs w:val="20"/>
        </w:rPr>
      </w:pPr>
      <w:proofErr w:type="gramStart"/>
      <w:r w:rsidRPr="00B418E8">
        <w:rPr>
          <w:rFonts w:ascii="Arial" w:hAnsi="Arial" w:cs="Arial"/>
          <w:sz w:val="20"/>
          <w:szCs w:val="20"/>
        </w:rPr>
        <w:t xml:space="preserve">[10] </w:t>
      </w:r>
      <w:r w:rsidR="00A40440" w:rsidRPr="00B418E8">
        <w:rPr>
          <w:rFonts w:ascii="Arial" w:hAnsi="Arial" w:cs="Arial"/>
          <w:sz w:val="20"/>
          <w:szCs w:val="20"/>
        </w:rPr>
        <w:t xml:space="preserve">S. Waldman, D. </w:t>
      </w:r>
      <w:proofErr w:type="spellStart"/>
      <w:r w:rsidR="00A40440" w:rsidRPr="00B418E8">
        <w:rPr>
          <w:rFonts w:ascii="Arial" w:hAnsi="Arial" w:cs="Arial"/>
          <w:sz w:val="20"/>
          <w:szCs w:val="20"/>
        </w:rPr>
        <w:t>Couto</w:t>
      </w:r>
      <w:proofErr w:type="spellEnd"/>
      <w:r w:rsidR="00A40440" w:rsidRPr="00B418E8">
        <w:rPr>
          <w:rFonts w:ascii="Arial" w:hAnsi="Arial" w:cs="Arial"/>
          <w:sz w:val="20"/>
          <w:szCs w:val="20"/>
        </w:rPr>
        <w:t xml:space="preserve">, M. </w:t>
      </w:r>
      <w:proofErr w:type="spellStart"/>
      <w:r w:rsidR="00A40440" w:rsidRPr="00B418E8">
        <w:rPr>
          <w:rFonts w:ascii="Arial" w:hAnsi="Arial" w:cs="Arial"/>
          <w:sz w:val="20"/>
          <w:szCs w:val="20"/>
        </w:rPr>
        <w:t>Grynpas</w:t>
      </w:r>
      <w:proofErr w:type="spellEnd"/>
      <w:r w:rsidR="00A40440" w:rsidRPr="00B418E8">
        <w:rPr>
          <w:rFonts w:ascii="Arial" w:hAnsi="Arial" w:cs="Arial"/>
          <w:sz w:val="20"/>
          <w:szCs w:val="20"/>
        </w:rPr>
        <w:t xml:space="preserve">, R. </w:t>
      </w:r>
      <w:proofErr w:type="spellStart"/>
      <w:r w:rsidR="00A40440" w:rsidRPr="00B418E8">
        <w:rPr>
          <w:rFonts w:ascii="Arial" w:hAnsi="Arial" w:cs="Arial"/>
          <w:sz w:val="20"/>
          <w:szCs w:val="20"/>
        </w:rPr>
        <w:t>Pilliar</w:t>
      </w:r>
      <w:proofErr w:type="spellEnd"/>
      <w:r w:rsidR="00A40440" w:rsidRPr="00B418E8">
        <w:rPr>
          <w:rFonts w:ascii="Arial" w:hAnsi="Arial" w:cs="Arial"/>
          <w:sz w:val="20"/>
          <w:szCs w:val="20"/>
        </w:rPr>
        <w:t xml:space="preserve">, and R. </w:t>
      </w:r>
      <w:proofErr w:type="spellStart"/>
      <w:r w:rsidR="00A40440" w:rsidRPr="00B418E8">
        <w:rPr>
          <w:rFonts w:ascii="Arial" w:hAnsi="Arial" w:cs="Arial"/>
          <w:sz w:val="20"/>
          <w:szCs w:val="20"/>
        </w:rPr>
        <w:t>Kandel</w:t>
      </w:r>
      <w:proofErr w:type="spellEnd"/>
      <w:r w:rsidR="00A40440" w:rsidRPr="00B418E8">
        <w:rPr>
          <w:rFonts w:ascii="Arial" w:hAnsi="Arial" w:cs="Arial"/>
          <w:sz w:val="20"/>
          <w:szCs w:val="20"/>
        </w:rPr>
        <w:t>.</w:t>
      </w:r>
      <w:proofErr w:type="gramEnd"/>
      <w:r w:rsidR="00A40440" w:rsidRPr="00B418E8">
        <w:rPr>
          <w:rFonts w:ascii="Arial" w:hAnsi="Arial" w:cs="Arial"/>
          <w:sz w:val="20"/>
          <w:szCs w:val="20"/>
        </w:rPr>
        <w:t xml:space="preserve"> "A Single Application of Cyclic Loading Can Accelerate Matrix Deposition and Enhance the Properties of Tissue-engineered Cartilage." Osteoarthritis and Cartilage 14.4 (2006): 323-30.</w:t>
      </w:r>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lastRenderedPageBreak/>
        <w:t xml:space="preserve">[11] </w:t>
      </w:r>
      <w:r w:rsidR="00A40440" w:rsidRPr="00B418E8">
        <w:rPr>
          <w:rFonts w:ascii="Arial" w:hAnsi="Arial" w:cs="Arial"/>
          <w:sz w:val="20"/>
          <w:szCs w:val="20"/>
        </w:rPr>
        <w:t xml:space="preserve">C-Y. C. Huang, K. L. Hagar, L. E. Frost, Y. Sun, and H. S. Cheung. "Effects of Cyclic Compressive Loading on </w:t>
      </w:r>
      <w:proofErr w:type="spellStart"/>
      <w:r w:rsidR="00A40440" w:rsidRPr="00B418E8">
        <w:rPr>
          <w:rFonts w:ascii="Arial" w:hAnsi="Arial" w:cs="Arial"/>
          <w:sz w:val="20"/>
          <w:szCs w:val="20"/>
        </w:rPr>
        <w:t>Chondrogenesis</w:t>
      </w:r>
      <w:proofErr w:type="spellEnd"/>
      <w:r w:rsidR="00A40440" w:rsidRPr="00B418E8">
        <w:rPr>
          <w:rFonts w:ascii="Arial" w:hAnsi="Arial" w:cs="Arial"/>
          <w:sz w:val="20"/>
          <w:szCs w:val="20"/>
        </w:rPr>
        <w:t xml:space="preserve"> of Rabbit Bone-Marrow Derived Mesenchymal Stem Cells." Stem Cells 22.3 (2004): 313-23.</w:t>
      </w:r>
    </w:p>
    <w:p w:rsidR="00B418E8" w:rsidRPr="00B418E8" w:rsidRDefault="00B418E8" w:rsidP="00B418E8">
      <w:pPr>
        <w:spacing w:after="0" w:line="480" w:lineRule="auto"/>
        <w:rPr>
          <w:rFonts w:ascii="Arial" w:hAnsi="Arial" w:cs="Arial"/>
          <w:sz w:val="20"/>
          <w:szCs w:val="20"/>
        </w:rPr>
      </w:pPr>
      <w:proofErr w:type="gramStart"/>
      <w:r w:rsidRPr="00B418E8">
        <w:rPr>
          <w:rFonts w:ascii="Arial" w:hAnsi="Arial" w:cs="Arial"/>
          <w:sz w:val="20"/>
          <w:szCs w:val="20"/>
        </w:rPr>
        <w:t xml:space="preserve">[12] C. R. Chu, M. </w:t>
      </w:r>
      <w:proofErr w:type="spellStart"/>
      <w:r w:rsidRPr="00B418E8">
        <w:rPr>
          <w:rFonts w:ascii="Arial" w:hAnsi="Arial" w:cs="Arial"/>
          <w:sz w:val="20"/>
          <w:szCs w:val="20"/>
        </w:rPr>
        <w:t>Szczodry</w:t>
      </w:r>
      <w:proofErr w:type="spellEnd"/>
      <w:r w:rsidRPr="00B418E8">
        <w:rPr>
          <w:rFonts w:ascii="Arial" w:hAnsi="Arial" w:cs="Arial"/>
          <w:sz w:val="20"/>
          <w:szCs w:val="20"/>
        </w:rPr>
        <w:t>, and S. Bruno.</w:t>
      </w:r>
      <w:proofErr w:type="gramEnd"/>
      <w:r w:rsidRPr="00B418E8">
        <w:rPr>
          <w:rFonts w:ascii="Arial" w:hAnsi="Arial" w:cs="Arial"/>
          <w:sz w:val="20"/>
          <w:szCs w:val="20"/>
        </w:rPr>
        <w:t xml:space="preserve"> </w:t>
      </w:r>
      <w:proofErr w:type="gramStart"/>
      <w:r w:rsidRPr="00B418E8">
        <w:rPr>
          <w:rFonts w:ascii="Arial" w:hAnsi="Arial" w:cs="Arial"/>
          <w:sz w:val="20"/>
          <w:szCs w:val="20"/>
        </w:rPr>
        <w:t>"Animal Models for Cartilage Regeneration and Repair."</w:t>
      </w:r>
      <w:proofErr w:type="gramEnd"/>
      <w:r w:rsidRPr="00B418E8">
        <w:rPr>
          <w:rFonts w:ascii="Arial" w:hAnsi="Arial" w:cs="Arial"/>
          <w:sz w:val="20"/>
          <w:szCs w:val="20"/>
        </w:rPr>
        <w:t xml:space="preserve"> Tissue Engineering Part B: Reviews 16.1 (2010): 105-15</w:t>
      </w:r>
    </w:p>
    <w:p w:rsidR="00B418E8" w:rsidRPr="00B418E8" w:rsidRDefault="005125D7" w:rsidP="00B418E8">
      <w:pPr>
        <w:spacing w:after="0" w:line="480" w:lineRule="auto"/>
        <w:rPr>
          <w:rFonts w:ascii="Arial" w:hAnsi="Arial" w:cs="Arial"/>
          <w:sz w:val="20"/>
          <w:szCs w:val="20"/>
        </w:rPr>
      </w:pPr>
      <w:proofErr w:type="gramStart"/>
      <w:r>
        <w:rPr>
          <w:rFonts w:ascii="Arial" w:hAnsi="Arial" w:cs="Arial"/>
          <w:sz w:val="20"/>
          <w:szCs w:val="20"/>
        </w:rPr>
        <w:t>*</w:t>
      </w:r>
      <w:r w:rsidR="00B418E8" w:rsidRPr="00B418E8">
        <w:rPr>
          <w:rFonts w:ascii="Arial" w:hAnsi="Arial" w:cs="Arial"/>
          <w:sz w:val="20"/>
          <w:szCs w:val="20"/>
        </w:rPr>
        <w:t>[13] Royal Society for the Prevention of Cruelty to Animals.</w:t>
      </w:r>
      <w:proofErr w:type="gramEnd"/>
      <w:r w:rsidR="00B418E8" w:rsidRPr="00B418E8">
        <w:rPr>
          <w:rFonts w:ascii="Arial" w:hAnsi="Arial" w:cs="Arial"/>
          <w:sz w:val="20"/>
          <w:szCs w:val="20"/>
        </w:rPr>
        <w:t xml:space="preserve"> </w:t>
      </w:r>
      <w:proofErr w:type="gramStart"/>
      <w:r w:rsidR="00B418E8" w:rsidRPr="00B418E8">
        <w:rPr>
          <w:rFonts w:ascii="Arial" w:hAnsi="Arial" w:cs="Arial"/>
          <w:sz w:val="20"/>
          <w:szCs w:val="20"/>
        </w:rPr>
        <w:t>Refining Rabbit Care.</w:t>
      </w:r>
      <w:proofErr w:type="gramEnd"/>
      <w:r w:rsidR="00B418E8" w:rsidRPr="00B418E8">
        <w:rPr>
          <w:rFonts w:ascii="Arial" w:hAnsi="Arial" w:cs="Arial"/>
          <w:sz w:val="20"/>
          <w:szCs w:val="20"/>
        </w:rPr>
        <w:t xml:space="preserve"> West Sussex: Royal Society for the Prevention of Cruelty to Animals, </w:t>
      </w:r>
      <w:proofErr w:type="spellStart"/>
      <w:r w:rsidR="00B418E8" w:rsidRPr="00B418E8">
        <w:rPr>
          <w:rFonts w:ascii="Arial" w:hAnsi="Arial" w:cs="Arial"/>
          <w:sz w:val="20"/>
          <w:szCs w:val="20"/>
        </w:rPr>
        <w:t>n.d.</w:t>
      </w:r>
      <w:proofErr w:type="spellEnd"/>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t xml:space="preserve">[14] B. Schmitt, J. </w:t>
      </w:r>
      <w:proofErr w:type="spellStart"/>
      <w:r w:rsidRPr="00B418E8">
        <w:rPr>
          <w:rFonts w:ascii="Arial" w:hAnsi="Arial" w:cs="Arial"/>
          <w:sz w:val="20"/>
          <w:szCs w:val="20"/>
        </w:rPr>
        <w:t>Ringe</w:t>
      </w:r>
      <w:proofErr w:type="spellEnd"/>
      <w:r w:rsidRPr="00B418E8">
        <w:rPr>
          <w:rFonts w:ascii="Arial" w:hAnsi="Arial" w:cs="Arial"/>
          <w:sz w:val="20"/>
          <w:szCs w:val="20"/>
        </w:rPr>
        <w:t xml:space="preserve">, T. </w:t>
      </w:r>
      <w:proofErr w:type="spellStart"/>
      <w:r w:rsidRPr="00B418E8">
        <w:rPr>
          <w:rFonts w:ascii="Arial" w:hAnsi="Arial" w:cs="Arial"/>
          <w:sz w:val="20"/>
          <w:szCs w:val="20"/>
        </w:rPr>
        <w:t>Haupl</w:t>
      </w:r>
      <w:proofErr w:type="spellEnd"/>
      <w:r w:rsidRPr="00B418E8">
        <w:rPr>
          <w:rFonts w:ascii="Arial" w:hAnsi="Arial" w:cs="Arial"/>
          <w:sz w:val="20"/>
          <w:szCs w:val="20"/>
        </w:rPr>
        <w:t xml:space="preserve">, M. </w:t>
      </w:r>
      <w:proofErr w:type="spellStart"/>
      <w:r w:rsidRPr="00B418E8">
        <w:rPr>
          <w:rFonts w:ascii="Arial" w:hAnsi="Arial" w:cs="Arial"/>
          <w:sz w:val="20"/>
          <w:szCs w:val="20"/>
        </w:rPr>
        <w:t>Notter</w:t>
      </w:r>
      <w:proofErr w:type="spellEnd"/>
      <w:r w:rsidRPr="00B418E8">
        <w:rPr>
          <w:rFonts w:ascii="Arial" w:hAnsi="Arial" w:cs="Arial"/>
          <w:sz w:val="20"/>
          <w:szCs w:val="20"/>
        </w:rPr>
        <w:t xml:space="preserve">, R. </w:t>
      </w:r>
      <w:proofErr w:type="spellStart"/>
      <w:r w:rsidRPr="00B418E8">
        <w:rPr>
          <w:rFonts w:ascii="Arial" w:hAnsi="Arial" w:cs="Arial"/>
          <w:sz w:val="20"/>
          <w:szCs w:val="20"/>
        </w:rPr>
        <w:t>Manz</w:t>
      </w:r>
      <w:proofErr w:type="spellEnd"/>
      <w:r w:rsidRPr="00B418E8">
        <w:rPr>
          <w:rFonts w:ascii="Arial" w:hAnsi="Arial" w:cs="Arial"/>
          <w:sz w:val="20"/>
          <w:szCs w:val="20"/>
        </w:rPr>
        <w:t xml:space="preserve">, G. R. </w:t>
      </w:r>
      <w:proofErr w:type="spellStart"/>
      <w:r w:rsidRPr="00B418E8">
        <w:rPr>
          <w:rFonts w:ascii="Arial" w:hAnsi="Arial" w:cs="Arial"/>
          <w:sz w:val="20"/>
          <w:szCs w:val="20"/>
        </w:rPr>
        <w:t>Burmester</w:t>
      </w:r>
      <w:proofErr w:type="spellEnd"/>
      <w:r w:rsidRPr="00B418E8">
        <w:rPr>
          <w:rFonts w:ascii="Arial" w:hAnsi="Arial" w:cs="Arial"/>
          <w:sz w:val="20"/>
          <w:szCs w:val="20"/>
        </w:rPr>
        <w:t xml:space="preserve">, M. </w:t>
      </w:r>
      <w:proofErr w:type="spellStart"/>
      <w:r w:rsidRPr="00B418E8">
        <w:rPr>
          <w:rFonts w:ascii="Arial" w:hAnsi="Arial" w:cs="Arial"/>
          <w:sz w:val="20"/>
          <w:szCs w:val="20"/>
        </w:rPr>
        <w:t>Sittinger</w:t>
      </w:r>
      <w:proofErr w:type="spellEnd"/>
      <w:r w:rsidRPr="00B418E8">
        <w:rPr>
          <w:rFonts w:ascii="Arial" w:hAnsi="Arial" w:cs="Arial"/>
          <w:sz w:val="20"/>
          <w:szCs w:val="20"/>
        </w:rPr>
        <w:t xml:space="preserve">, and C. </w:t>
      </w:r>
      <w:proofErr w:type="spellStart"/>
      <w:r w:rsidRPr="00B418E8">
        <w:rPr>
          <w:rFonts w:ascii="Arial" w:hAnsi="Arial" w:cs="Arial"/>
          <w:sz w:val="20"/>
          <w:szCs w:val="20"/>
        </w:rPr>
        <w:t>Kaps</w:t>
      </w:r>
      <w:proofErr w:type="spellEnd"/>
      <w:r w:rsidRPr="00B418E8">
        <w:rPr>
          <w:rFonts w:ascii="Arial" w:hAnsi="Arial" w:cs="Arial"/>
          <w:sz w:val="20"/>
          <w:szCs w:val="20"/>
        </w:rPr>
        <w:t xml:space="preserve">. </w:t>
      </w:r>
      <w:proofErr w:type="gramStart"/>
      <w:r w:rsidRPr="00B418E8">
        <w:rPr>
          <w:rFonts w:ascii="Arial" w:hAnsi="Arial" w:cs="Arial"/>
          <w:sz w:val="20"/>
          <w:szCs w:val="20"/>
        </w:rPr>
        <w:t xml:space="preserve">"BMP2 Initiates </w:t>
      </w:r>
      <w:proofErr w:type="spellStart"/>
      <w:r w:rsidRPr="00B418E8">
        <w:rPr>
          <w:rFonts w:ascii="Arial" w:hAnsi="Arial" w:cs="Arial"/>
          <w:sz w:val="20"/>
          <w:szCs w:val="20"/>
        </w:rPr>
        <w:t>Chondrogenic</w:t>
      </w:r>
      <w:proofErr w:type="spellEnd"/>
      <w:r w:rsidRPr="00B418E8">
        <w:rPr>
          <w:rFonts w:ascii="Arial" w:hAnsi="Arial" w:cs="Arial"/>
          <w:sz w:val="20"/>
          <w:szCs w:val="20"/>
        </w:rPr>
        <w:t xml:space="preserve"> Lineage Development of Adult Human Mesenchymal Stem Cells in High-density Culture."</w:t>
      </w:r>
      <w:proofErr w:type="gramEnd"/>
      <w:r w:rsidRPr="00B418E8">
        <w:rPr>
          <w:rFonts w:ascii="Arial" w:hAnsi="Arial" w:cs="Arial"/>
          <w:sz w:val="20"/>
          <w:szCs w:val="20"/>
        </w:rPr>
        <w:t xml:space="preserve"> Differentiation 71.9-10 (2003): 567-77.</w:t>
      </w:r>
    </w:p>
    <w:p w:rsidR="00B418E8" w:rsidRPr="00B418E8" w:rsidRDefault="00B418E8" w:rsidP="00B418E8">
      <w:pPr>
        <w:spacing w:after="0" w:line="480" w:lineRule="auto"/>
        <w:rPr>
          <w:rFonts w:ascii="Arial" w:hAnsi="Arial" w:cs="Arial"/>
          <w:sz w:val="20"/>
          <w:szCs w:val="20"/>
        </w:rPr>
      </w:pPr>
      <w:r w:rsidRPr="00B418E8">
        <w:rPr>
          <w:rFonts w:ascii="Arial" w:hAnsi="Arial" w:cs="Arial"/>
          <w:sz w:val="20"/>
          <w:szCs w:val="20"/>
        </w:rPr>
        <w:t xml:space="preserve">[15] K. L. </w:t>
      </w:r>
      <w:proofErr w:type="spellStart"/>
      <w:proofErr w:type="gramStart"/>
      <w:r w:rsidRPr="00B418E8">
        <w:rPr>
          <w:rFonts w:ascii="Arial" w:hAnsi="Arial" w:cs="Arial"/>
          <w:sz w:val="20"/>
          <w:szCs w:val="20"/>
        </w:rPr>
        <w:t>Camplejohn</w:t>
      </w:r>
      <w:proofErr w:type="spellEnd"/>
      <w:r w:rsidRPr="00B418E8">
        <w:rPr>
          <w:rFonts w:ascii="Arial" w:hAnsi="Arial" w:cs="Arial"/>
          <w:sz w:val="20"/>
          <w:szCs w:val="20"/>
        </w:rPr>
        <w:t>,</w:t>
      </w:r>
      <w:proofErr w:type="gramEnd"/>
      <w:r w:rsidRPr="00B418E8">
        <w:rPr>
          <w:rFonts w:ascii="Arial" w:hAnsi="Arial" w:cs="Arial"/>
          <w:sz w:val="20"/>
          <w:szCs w:val="20"/>
        </w:rPr>
        <w:t xml:space="preserve"> and S. A. Allard. </w:t>
      </w:r>
      <w:proofErr w:type="gramStart"/>
      <w:r w:rsidRPr="00B418E8">
        <w:rPr>
          <w:rFonts w:ascii="Arial" w:hAnsi="Arial" w:cs="Arial"/>
          <w:sz w:val="20"/>
          <w:szCs w:val="20"/>
        </w:rPr>
        <w:t xml:space="preserve">"Limitations of </w:t>
      </w:r>
      <w:proofErr w:type="spellStart"/>
      <w:r w:rsidRPr="00B418E8">
        <w:rPr>
          <w:rFonts w:ascii="Arial" w:hAnsi="Arial" w:cs="Arial"/>
          <w:sz w:val="20"/>
          <w:szCs w:val="20"/>
        </w:rPr>
        <w:t>Safranin</w:t>
      </w:r>
      <w:proofErr w:type="spellEnd"/>
      <w:r w:rsidRPr="00B418E8">
        <w:rPr>
          <w:rFonts w:ascii="Arial" w:hAnsi="Arial" w:cs="Arial"/>
          <w:sz w:val="20"/>
          <w:szCs w:val="20"/>
        </w:rPr>
        <w:t xml:space="preserve"> 'O' Staining in Proteoglycan-depleted Cartilage Demonstrated with Monoclonal Antibodies."</w:t>
      </w:r>
      <w:proofErr w:type="gramEnd"/>
      <w:r w:rsidRPr="00B418E8">
        <w:rPr>
          <w:rFonts w:ascii="Arial" w:hAnsi="Arial" w:cs="Arial"/>
          <w:sz w:val="20"/>
          <w:szCs w:val="20"/>
        </w:rPr>
        <w:t xml:space="preserve"> Histochemistry89.15 (1988): 185-88.</w:t>
      </w:r>
    </w:p>
    <w:p w:rsidR="00B418E8" w:rsidRDefault="00B418E8" w:rsidP="00B418E8">
      <w:pPr>
        <w:spacing w:after="0" w:line="480" w:lineRule="auto"/>
        <w:rPr>
          <w:rFonts w:ascii="Arial" w:hAnsi="Arial" w:cs="Arial"/>
          <w:sz w:val="20"/>
          <w:szCs w:val="20"/>
        </w:rPr>
      </w:pPr>
      <w:r w:rsidRPr="00B418E8">
        <w:rPr>
          <w:rFonts w:ascii="Arial" w:hAnsi="Arial" w:cs="Arial"/>
          <w:sz w:val="20"/>
          <w:szCs w:val="20"/>
        </w:rPr>
        <w:t xml:space="preserve">[16] G. I. </w:t>
      </w:r>
      <w:proofErr w:type="spellStart"/>
      <w:r w:rsidRPr="00B418E8">
        <w:rPr>
          <w:rFonts w:ascii="Arial" w:hAnsi="Arial" w:cs="Arial"/>
          <w:sz w:val="20"/>
          <w:szCs w:val="20"/>
        </w:rPr>
        <w:t>Im</w:t>
      </w:r>
      <w:proofErr w:type="spellEnd"/>
      <w:r w:rsidRPr="00B418E8">
        <w:rPr>
          <w:rFonts w:ascii="Arial" w:hAnsi="Arial" w:cs="Arial"/>
          <w:sz w:val="20"/>
          <w:szCs w:val="20"/>
        </w:rPr>
        <w:t xml:space="preserve">, D. Y. Kim, J. H. Shin, C. W. Hyun, and W. H. Cho. </w:t>
      </w:r>
      <w:proofErr w:type="gramStart"/>
      <w:r w:rsidRPr="00B418E8">
        <w:rPr>
          <w:rFonts w:ascii="Arial" w:hAnsi="Arial" w:cs="Arial"/>
          <w:sz w:val="20"/>
          <w:szCs w:val="20"/>
        </w:rPr>
        <w:t>"Repair of Cartilage Defect in the Rabbit with Cultured Mesenchymal Stem Cells from Bone Marrow."</w:t>
      </w:r>
      <w:proofErr w:type="gramEnd"/>
      <w:r w:rsidRPr="00B418E8">
        <w:rPr>
          <w:rFonts w:ascii="Arial" w:hAnsi="Arial" w:cs="Arial"/>
          <w:sz w:val="20"/>
          <w:szCs w:val="20"/>
        </w:rPr>
        <w:t xml:space="preserve"> The Journal of Bone and Joint Surgery 83-B.2 (2001): 289-94.</w:t>
      </w:r>
    </w:p>
    <w:p w:rsidR="005125D7" w:rsidRDefault="005125D7" w:rsidP="00B418E8">
      <w:pPr>
        <w:spacing w:after="0" w:line="480" w:lineRule="auto"/>
        <w:rPr>
          <w:rFonts w:ascii="Arial" w:hAnsi="Arial" w:cs="Arial"/>
          <w:sz w:val="20"/>
          <w:szCs w:val="20"/>
        </w:rPr>
      </w:pPr>
    </w:p>
    <w:p w:rsidR="005125D7" w:rsidRPr="005125D7" w:rsidRDefault="005125D7" w:rsidP="005125D7">
      <w:pPr>
        <w:spacing w:after="0" w:line="480" w:lineRule="auto"/>
        <w:rPr>
          <w:rFonts w:ascii="Arial" w:hAnsi="Arial" w:cs="Arial"/>
          <w:sz w:val="20"/>
          <w:szCs w:val="20"/>
        </w:rPr>
      </w:pPr>
      <w:r w:rsidRPr="005125D7">
        <w:rPr>
          <w:rFonts w:ascii="Arial" w:hAnsi="Arial" w:cs="Arial"/>
          <w:sz w:val="20"/>
          <w:szCs w:val="20"/>
        </w:rPr>
        <w:t>*</w:t>
      </w:r>
      <w:r>
        <w:rPr>
          <w:rFonts w:ascii="Arial" w:hAnsi="Arial" w:cs="Arial"/>
          <w:sz w:val="20"/>
          <w:szCs w:val="20"/>
        </w:rPr>
        <w:t xml:space="preserve"> </w:t>
      </w:r>
      <w:r w:rsidRPr="005125D7">
        <w:rPr>
          <w:rFonts w:ascii="Arial" w:hAnsi="Arial" w:cs="Arial"/>
          <w:sz w:val="20"/>
          <w:szCs w:val="20"/>
        </w:rPr>
        <w:t xml:space="preserve">Indicates </w:t>
      </w:r>
      <w:r>
        <w:rPr>
          <w:rFonts w:ascii="Arial" w:hAnsi="Arial" w:cs="Arial"/>
          <w:sz w:val="20"/>
          <w:szCs w:val="20"/>
        </w:rPr>
        <w:t>that this source could not be sent in PDF form via email</w:t>
      </w:r>
    </w:p>
    <w:p w:rsidR="00E9528C" w:rsidRDefault="00E9528C">
      <w:pPr>
        <w:rPr>
          <w:rFonts w:ascii="Arial" w:hAnsi="Arial" w:cs="Arial"/>
          <w:sz w:val="20"/>
          <w:szCs w:val="20"/>
        </w:rPr>
      </w:pPr>
      <w:r>
        <w:rPr>
          <w:rFonts w:ascii="Arial" w:hAnsi="Arial" w:cs="Arial"/>
          <w:sz w:val="20"/>
          <w:szCs w:val="20"/>
        </w:rPr>
        <w:br w:type="page"/>
      </w:r>
    </w:p>
    <w:p w:rsidR="00E9528C" w:rsidRPr="00B418E8" w:rsidRDefault="00E9528C" w:rsidP="00B418E8">
      <w:pPr>
        <w:spacing w:after="0" w:line="480" w:lineRule="auto"/>
        <w:rPr>
          <w:rFonts w:ascii="Arial" w:hAnsi="Arial" w:cs="Arial"/>
          <w:sz w:val="20"/>
          <w:szCs w:val="20"/>
        </w:rPr>
      </w:pPr>
      <w:r>
        <w:rPr>
          <w:rFonts w:ascii="Arial" w:hAnsi="Arial" w:cs="Arial"/>
          <w:sz w:val="20"/>
          <w:szCs w:val="20"/>
        </w:rPr>
        <w:lastRenderedPageBreak/>
        <w:t>Appendix</w:t>
      </w:r>
    </w:p>
    <w:p w:rsidR="00DE090D" w:rsidRPr="00B418E8" w:rsidRDefault="00E9528C" w:rsidP="0085005C">
      <w:pPr>
        <w:spacing w:after="0" w:line="480" w:lineRule="auto"/>
        <w:rPr>
          <w:rFonts w:ascii="Arial" w:hAnsi="Arial" w:cs="Arial"/>
          <w:sz w:val="20"/>
          <w:szCs w:val="20"/>
        </w:rPr>
      </w:pPr>
      <w:proofErr w:type="gramStart"/>
      <w:r>
        <w:rPr>
          <w:rFonts w:ascii="Arial" w:hAnsi="Arial" w:cs="Arial"/>
          <w:sz w:val="20"/>
          <w:szCs w:val="20"/>
        </w:rPr>
        <w:t>Histological grading scale [16].</w:t>
      </w:r>
      <w:proofErr w:type="gramEnd"/>
    </w:p>
    <w:p w:rsidR="00062600" w:rsidRPr="00B418E8" w:rsidRDefault="00E5609A" w:rsidP="00D8725F">
      <w:pPr>
        <w:spacing w:after="0" w:line="480" w:lineRule="auto"/>
        <w:jc w:val="center"/>
        <w:rPr>
          <w:rFonts w:ascii="Arial" w:hAnsi="Arial" w:cs="Arial"/>
          <w:sz w:val="20"/>
          <w:szCs w:val="20"/>
        </w:rPr>
      </w:pPr>
      <w:r w:rsidRPr="00B418E8">
        <w:rPr>
          <w:noProof/>
          <w:sz w:val="20"/>
          <w:szCs w:val="20"/>
        </w:rPr>
        <w:drawing>
          <wp:inline distT="0" distB="0" distL="0" distR="0" wp14:anchorId="764E513F" wp14:editId="358FDA7E">
            <wp:extent cx="4356040" cy="7543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237" t="2469"/>
                    <a:stretch/>
                  </pic:blipFill>
                  <pic:spPr bwMode="auto">
                    <a:xfrm>
                      <a:off x="0" y="0"/>
                      <a:ext cx="4356040" cy="7543800"/>
                    </a:xfrm>
                    <a:prstGeom prst="rect">
                      <a:avLst/>
                    </a:prstGeom>
                    <a:ln>
                      <a:noFill/>
                    </a:ln>
                    <a:extLst>
                      <a:ext uri="{53640926-AAD7-44D8-BBD7-CCE9431645EC}">
                        <a14:shadowObscured xmlns:a14="http://schemas.microsoft.com/office/drawing/2010/main"/>
                      </a:ext>
                    </a:extLst>
                  </pic:spPr>
                </pic:pic>
              </a:graphicData>
            </a:graphic>
          </wp:inline>
        </w:drawing>
      </w:r>
    </w:p>
    <w:sectPr w:rsidR="00062600" w:rsidRPr="00B4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5241"/>
    <w:multiLevelType w:val="hybridMultilevel"/>
    <w:tmpl w:val="703A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F33D2"/>
    <w:multiLevelType w:val="hybridMultilevel"/>
    <w:tmpl w:val="94003E4A"/>
    <w:lvl w:ilvl="0" w:tplc="80EEBF6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22469"/>
    <w:multiLevelType w:val="hybridMultilevel"/>
    <w:tmpl w:val="BF16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2691D"/>
    <w:multiLevelType w:val="hybridMultilevel"/>
    <w:tmpl w:val="2F0C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5A"/>
    <w:rsid w:val="00004580"/>
    <w:rsid w:val="00011E67"/>
    <w:rsid w:val="000457E0"/>
    <w:rsid w:val="00053788"/>
    <w:rsid w:val="00061760"/>
    <w:rsid w:val="000623DB"/>
    <w:rsid w:val="00062600"/>
    <w:rsid w:val="00073146"/>
    <w:rsid w:val="000831E4"/>
    <w:rsid w:val="00084749"/>
    <w:rsid w:val="000A2170"/>
    <w:rsid w:val="000A6DEF"/>
    <w:rsid w:val="000E0B81"/>
    <w:rsid w:val="00103588"/>
    <w:rsid w:val="0012602F"/>
    <w:rsid w:val="001334EE"/>
    <w:rsid w:val="0019008A"/>
    <w:rsid w:val="001B660A"/>
    <w:rsid w:val="001B77CF"/>
    <w:rsid w:val="001B7FA4"/>
    <w:rsid w:val="001C60F8"/>
    <w:rsid w:val="001C73E7"/>
    <w:rsid w:val="001E2225"/>
    <w:rsid w:val="001F75B8"/>
    <w:rsid w:val="00206C40"/>
    <w:rsid w:val="00237551"/>
    <w:rsid w:val="00255006"/>
    <w:rsid w:val="00261578"/>
    <w:rsid w:val="00270759"/>
    <w:rsid w:val="002A6418"/>
    <w:rsid w:val="002C0544"/>
    <w:rsid w:val="002C6FD8"/>
    <w:rsid w:val="002F16B0"/>
    <w:rsid w:val="0031745E"/>
    <w:rsid w:val="00327538"/>
    <w:rsid w:val="003468C2"/>
    <w:rsid w:val="00364044"/>
    <w:rsid w:val="00375E7E"/>
    <w:rsid w:val="003B1458"/>
    <w:rsid w:val="003B30EB"/>
    <w:rsid w:val="003B7301"/>
    <w:rsid w:val="003C1DDC"/>
    <w:rsid w:val="003F58F8"/>
    <w:rsid w:val="00477779"/>
    <w:rsid w:val="004A2594"/>
    <w:rsid w:val="004A7A0A"/>
    <w:rsid w:val="004D7311"/>
    <w:rsid w:val="004E6109"/>
    <w:rsid w:val="005125D7"/>
    <w:rsid w:val="00523A08"/>
    <w:rsid w:val="005402F9"/>
    <w:rsid w:val="00555845"/>
    <w:rsid w:val="00562EA8"/>
    <w:rsid w:val="00567C56"/>
    <w:rsid w:val="005B4A93"/>
    <w:rsid w:val="005B5B33"/>
    <w:rsid w:val="005C01FB"/>
    <w:rsid w:val="005C1510"/>
    <w:rsid w:val="00612A86"/>
    <w:rsid w:val="006160D0"/>
    <w:rsid w:val="00645690"/>
    <w:rsid w:val="00646452"/>
    <w:rsid w:val="0066715E"/>
    <w:rsid w:val="0066730F"/>
    <w:rsid w:val="0067103B"/>
    <w:rsid w:val="00684E88"/>
    <w:rsid w:val="006B01E1"/>
    <w:rsid w:val="006B0EB0"/>
    <w:rsid w:val="006C0401"/>
    <w:rsid w:val="006C32E4"/>
    <w:rsid w:val="006D5390"/>
    <w:rsid w:val="007541ED"/>
    <w:rsid w:val="00764066"/>
    <w:rsid w:val="00786F25"/>
    <w:rsid w:val="00791408"/>
    <w:rsid w:val="0079202B"/>
    <w:rsid w:val="007A2653"/>
    <w:rsid w:val="007C14D3"/>
    <w:rsid w:val="007D21FE"/>
    <w:rsid w:val="007E221A"/>
    <w:rsid w:val="00804BC4"/>
    <w:rsid w:val="00814880"/>
    <w:rsid w:val="0084184E"/>
    <w:rsid w:val="0084524E"/>
    <w:rsid w:val="0085005C"/>
    <w:rsid w:val="00895B8B"/>
    <w:rsid w:val="008B7744"/>
    <w:rsid w:val="008C2986"/>
    <w:rsid w:val="008F2F5A"/>
    <w:rsid w:val="0090365A"/>
    <w:rsid w:val="00903DFA"/>
    <w:rsid w:val="009246AC"/>
    <w:rsid w:val="00983F54"/>
    <w:rsid w:val="009D64E8"/>
    <w:rsid w:val="009E7D92"/>
    <w:rsid w:val="00A23841"/>
    <w:rsid w:val="00A2731B"/>
    <w:rsid w:val="00A40440"/>
    <w:rsid w:val="00A42220"/>
    <w:rsid w:val="00AB57E2"/>
    <w:rsid w:val="00AC7875"/>
    <w:rsid w:val="00AD0EAE"/>
    <w:rsid w:val="00AF0F32"/>
    <w:rsid w:val="00AF7FE1"/>
    <w:rsid w:val="00B32070"/>
    <w:rsid w:val="00B418E8"/>
    <w:rsid w:val="00B61430"/>
    <w:rsid w:val="00B62CCB"/>
    <w:rsid w:val="00BC425B"/>
    <w:rsid w:val="00BE3D97"/>
    <w:rsid w:val="00BF5A83"/>
    <w:rsid w:val="00BF7C0D"/>
    <w:rsid w:val="00C15639"/>
    <w:rsid w:val="00C21C0A"/>
    <w:rsid w:val="00C254BA"/>
    <w:rsid w:val="00C40940"/>
    <w:rsid w:val="00C74AC1"/>
    <w:rsid w:val="00C75DF7"/>
    <w:rsid w:val="00C83E40"/>
    <w:rsid w:val="00C919B5"/>
    <w:rsid w:val="00CF6AB3"/>
    <w:rsid w:val="00D00D40"/>
    <w:rsid w:val="00D32118"/>
    <w:rsid w:val="00D354FA"/>
    <w:rsid w:val="00D40429"/>
    <w:rsid w:val="00D64A4A"/>
    <w:rsid w:val="00D86717"/>
    <w:rsid w:val="00D8725F"/>
    <w:rsid w:val="00DA4B4F"/>
    <w:rsid w:val="00DC4423"/>
    <w:rsid w:val="00DD1125"/>
    <w:rsid w:val="00DE090D"/>
    <w:rsid w:val="00E15085"/>
    <w:rsid w:val="00E17A3B"/>
    <w:rsid w:val="00E25BD2"/>
    <w:rsid w:val="00E3243F"/>
    <w:rsid w:val="00E5609A"/>
    <w:rsid w:val="00E9528C"/>
    <w:rsid w:val="00EA617B"/>
    <w:rsid w:val="00EA750A"/>
    <w:rsid w:val="00EB55B9"/>
    <w:rsid w:val="00ED40E1"/>
    <w:rsid w:val="00EE470F"/>
    <w:rsid w:val="00EF58CD"/>
    <w:rsid w:val="00EF5D3E"/>
    <w:rsid w:val="00F074CF"/>
    <w:rsid w:val="00F1059C"/>
    <w:rsid w:val="00F84839"/>
    <w:rsid w:val="00F86117"/>
    <w:rsid w:val="00F96E58"/>
    <w:rsid w:val="00FA4591"/>
    <w:rsid w:val="00FD04A0"/>
    <w:rsid w:val="00FD2995"/>
    <w:rsid w:val="00FF1116"/>
    <w:rsid w:val="00FF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83"/>
    <w:pPr>
      <w:ind w:left="720"/>
      <w:contextualSpacing/>
    </w:pPr>
  </w:style>
  <w:style w:type="character" w:styleId="Hyperlink">
    <w:name w:val="Hyperlink"/>
    <w:basedOn w:val="DefaultParagraphFont"/>
    <w:uiPriority w:val="99"/>
    <w:unhideWhenUsed/>
    <w:rsid w:val="0012602F"/>
    <w:rPr>
      <w:color w:val="0000FF" w:themeColor="hyperlink"/>
      <w:u w:val="single"/>
    </w:rPr>
  </w:style>
  <w:style w:type="paragraph" w:styleId="BalloonText">
    <w:name w:val="Balloon Text"/>
    <w:basedOn w:val="Normal"/>
    <w:link w:val="BalloonTextChar"/>
    <w:uiPriority w:val="99"/>
    <w:semiHidden/>
    <w:unhideWhenUsed/>
    <w:rsid w:val="00EF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83"/>
    <w:pPr>
      <w:ind w:left="720"/>
      <w:contextualSpacing/>
    </w:pPr>
  </w:style>
  <w:style w:type="character" w:styleId="Hyperlink">
    <w:name w:val="Hyperlink"/>
    <w:basedOn w:val="DefaultParagraphFont"/>
    <w:uiPriority w:val="99"/>
    <w:unhideWhenUsed/>
    <w:rsid w:val="0012602F"/>
    <w:rPr>
      <w:color w:val="0000FF" w:themeColor="hyperlink"/>
      <w:u w:val="single"/>
    </w:rPr>
  </w:style>
  <w:style w:type="paragraph" w:styleId="BalloonText">
    <w:name w:val="Balloon Text"/>
    <w:basedOn w:val="Normal"/>
    <w:link w:val="BalloonTextChar"/>
    <w:uiPriority w:val="99"/>
    <w:semiHidden/>
    <w:unhideWhenUsed/>
    <w:rsid w:val="00EF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5744">
      <w:bodyDiv w:val="1"/>
      <w:marLeft w:val="0"/>
      <w:marRight w:val="0"/>
      <w:marTop w:val="0"/>
      <w:marBottom w:val="0"/>
      <w:divBdr>
        <w:top w:val="none" w:sz="0" w:space="0" w:color="auto"/>
        <w:left w:val="none" w:sz="0" w:space="0" w:color="auto"/>
        <w:bottom w:val="none" w:sz="0" w:space="0" w:color="auto"/>
        <w:right w:val="none" w:sz="0" w:space="0" w:color="auto"/>
      </w:divBdr>
    </w:div>
    <w:div w:id="610238073">
      <w:bodyDiv w:val="1"/>
      <w:marLeft w:val="0"/>
      <w:marRight w:val="0"/>
      <w:marTop w:val="0"/>
      <w:marBottom w:val="0"/>
      <w:divBdr>
        <w:top w:val="none" w:sz="0" w:space="0" w:color="auto"/>
        <w:left w:val="none" w:sz="0" w:space="0" w:color="auto"/>
        <w:bottom w:val="none" w:sz="0" w:space="0" w:color="auto"/>
        <w:right w:val="none" w:sz="0" w:space="0" w:color="auto"/>
      </w:divBdr>
    </w:div>
    <w:div w:id="640771690">
      <w:bodyDiv w:val="1"/>
      <w:marLeft w:val="0"/>
      <w:marRight w:val="0"/>
      <w:marTop w:val="0"/>
      <w:marBottom w:val="0"/>
      <w:divBdr>
        <w:top w:val="none" w:sz="0" w:space="0" w:color="auto"/>
        <w:left w:val="none" w:sz="0" w:space="0" w:color="auto"/>
        <w:bottom w:val="none" w:sz="0" w:space="0" w:color="auto"/>
        <w:right w:val="none" w:sz="0" w:space="0" w:color="auto"/>
      </w:divBdr>
      <w:divsChild>
        <w:div w:id="1248543206">
          <w:marLeft w:val="547"/>
          <w:marRight w:val="0"/>
          <w:marTop w:val="154"/>
          <w:marBottom w:val="0"/>
          <w:divBdr>
            <w:top w:val="none" w:sz="0" w:space="0" w:color="auto"/>
            <w:left w:val="none" w:sz="0" w:space="0" w:color="auto"/>
            <w:bottom w:val="none" w:sz="0" w:space="0" w:color="auto"/>
            <w:right w:val="none" w:sz="0" w:space="0" w:color="auto"/>
          </w:divBdr>
        </w:div>
      </w:divsChild>
    </w:div>
    <w:div w:id="899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orthofix.com/ftp/assets/Product/Product_Files/Trinity_Evolution/Barry.pdf"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10</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142</cp:revision>
  <dcterms:created xsi:type="dcterms:W3CDTF">2012-12-17T22:47:00Z</dcterms:created>
  <dcterms:modified xsi:type="dcterms:W3CDTF">2012-12-18T19:41:00Z</dcterms:modified>
</cp:coreProperties>
</file>