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10" w:rsidRPr="003D2D56" w:rsidRDefault="00337610" w:rsidP="00231EAA">
      <w:pPr>
        <w:spacing w:after="0" w:line="480" w:lineRule="auto"/>
        <w:rPr>
          <w:rFonts w:ascii="Arial" w:hAnsi="Arial" w:cs="Arial"/>
          <w:b/>
          <w:sz w:val="24"/>
          <w:szCs w:val="24"/>
        </w:rPr>
      </w:pPr>
      <w:r w:rsidRPr="003D2D56">
        <w:rPr>
          <w:rFonts w:ascii="Arial" w:hAnsi="Arial" w:cs="Arial"/>
          <w:b/>
          <w:sz w:val="24"/>
          <w:szCs w:val="24"/>
        </w:rPr>
        <w:t>Design of a microfluidics device to rapidly genetically analyze bronchial epithelial cells for EGFR mutation</w:t>
      </w:r>
    </w:p>
    <w:p w:rsidR="00337610" w:rsidRDefault="00337610" w:rsidP="00231EAA">
      <w:pPr>
        <w:spacing w:after="0" w:line="480" w:lineRule="auto"/>
        <w:rPr>
          <w:rFonts w:ascii="Arial" w:hAnsi="Arial" w:cs="Arial"/>
          <w:b/>
          <w:sz w:val="20"/>
          <w:szCs w:val="20"/>
        </w:rPr>
      </w:pPr>
      <w:r>
        <w:rPr>
          <w:rFonts w:ascii="Arial" w:hAnsi="Arial" w:cs="Arial"/>
          <w:b/>
          <w:sz w:val="20"/>
          <w:szCs w:val="20"/>
        </w:rPr>
        <w:t>Emily Boggs</w:t>
      </w:r>
    </w:p>
    <w:p w:rsidR="00337610" w:rsidRDefault="00337610" w:rsidP="00231EAA">
      <w:pPr>
        <w:spacing w:after="0" w:line="480" w:lineRule="auto"/>
        <w:rPr>
          <w:rFonts w:ascii="Arial" w:hAnsi="Arial" w:cs="Arial"/>
          <w:b/>
          <w:sz w:val="20"/>
          <w:szCs w:val="20"/>
        </w:rPr>
      </w:pPr>
    </w:p>
    <w:p w:rsidR="00874DC7" w:rsidRPr="00874DC7" w:rsidRDefault="00874DC7" w:rsidP="00231EAA">
      <w:pPr>
        <w:spacing w:after="0" w:line="480" w:lineRule="auto"/>
        <w:rPr>
          <w:rFonts w:ascii="Arial" w:hAnsi="Arial" w:cs="Arial"/>
          <w:sz w:val="20"/>
          <w:szCs w:val="20"/>
        </w:rPr>
      </w:pPr>
      <w:r>
        <w:rPr>
          <w:rFonts w:ascii="Arial" w:hAnsi="Arial" w:cs="Arial"/>
          <w:b/>
          <w:sz w:val="20"/>
          <w:szCs w:val="20"/>
        </w:rPr>
        <w:t>INTRODUCTION</w:t>
      </w:r>
    </w:p>
    <w:p w:rsidR="00874DC7" w:rsidRDefault="00542F11" w:rsidP="00231EAA">
      <w:pPr>
        <w:spacing w:after="0" w:line="480" w:lineRule="auto"/>
        <w:rPr>
          <w:rFonts w:ascii="Arial" w:hAnsi="Arial" w:cs="Arial"/>
          <w:sz w:val="20"/>
          <w:szCs w:val="20"/>
        </w:rPr>
      </w:pPr>
      <w:r>
        <w:rPr>
          <w:rFonts w:ascii="Arial" w:hAnsi="Arial" w:cs="Arial"/>
          <w:sz w:val="20"/>
          <w:szCs w:val="20"/>
        </w:rPr>
        <w:tab/>
        <w:t>Lung cancer is a growing epidemic in America.  In 2012 alone, an estimate 226,000 people were diagnosed with lung or bronchial can</w:t>
      </w:r>
      <w:r w:rsidR="00EF16CC">
        <w:rPr>
          <w:rFonts w:ascii="Arial" w:hAnsi="Arial" w:cs="Arial"/>
          <w:sz w:val="20"/>
          <w:szCs w:val="20"/>
        </w:rPr>
        <w:t>cer, while another 160,000 died [</w:t>
      </w:r>
      <w:r w:rsidR="00E141DC">
        <w:rPr>
          <w:rFonts w:ascii="Arial" w:hAnsi="Arial" w:cs="Arial"/>
          <w:sz w:val="20"/>
          <w:szCs w:val="20"/>
        </w:rPr>
        <w:t>1</w:t>
      </w:r>
      <w:r w:rsidR="00EF16CC">
        <w:rPr>
          <w:rFonts w:ascii="Arial" w:hAnsi="Arial" w:cs="Arial"/>
          <w:sz w:val="20"/>
          <w:szCs w:val="20"/>
        </w:rPr>
        <w:t>].  In addition, lung cancer is the second most commonly diagnosed cancer for men and women, just behind prostate and breast cancers, respectively.</w:t>
      </w:r>
      <w:r w:rsidR="009D23DF">
        <w:rPr>
          <w:rFonts w:ascii="Arial" w:hAnsi="Arial" w:cs="Arial"/>
          <w:sz w:val="20"/>
          <w:szCs w:val="20"/>
        </w:rPr>
        <w:t xml:space="preserve">  More people, of both sexes, died from lung cancer in 2012 than any other type of cancer.  In fact, lung cancer killed more people than prostate, breast, pancreas, and colon cancers put together</w:t>
      </w:r>
      <w:r w:rsidR="00D85B86">
        <w:rPr>
          <w:rFonts w:ascii="Arial" w:hAnsi="Arial" w:cs="Arial"/>
          <w:sz w:val="20"/>
          <w:szCs w:val="20"/>
        </w:rPr>
        <w:t xml:space="preserve"> (</w:t>
      </w:r>
      <w:r w:rsidR="004946F7">
        <w:rPr>
          <w:rFonts w:ascii="Arial" w:hAnsi="Arial" w:cs="Arial"/>
          <w:sz w:val="20"/>
          <w:szCs w:val="20"/>
        </w:rPr>
        <w:t>Figure 1</w:t>
      </w:r>
      <w:r w:rsidR="00D85B86">
        <w:rPr>
          <w:rFonts w:ascii="Arial" w:hAnsi="Arial" w:cs="Arial"/>
          <w:sz w:val="20"/>
          <w:szCs w:val="20"/>
        </w:rPr>
        <w:t>).</w:t>
      </w:r>
    </w:p>
    <w:p w:rsidR="004946F7" w:rsidRDefault="004946F7" w:rsidP="004946F7">
      <w:pPr>
        <w:spacing w:after="0" w:line="480" w:lineRule="auto"/>
        <w:jc w:val="center"/>
        <w:rPr>
          <w:rFonts w:ascii="Arial" w:hAnsi="Arial" w:cs="Arial"/>
          <w:sz w:val="20"/>
          <w:szCs w:val="20"/>
        </w:rPr>
      </w:pPr>
      <w:r>
        <w:rPr>
          <w:noProof/>
        </w:rPr>
        <w:drawing>
          <wp:inline distT="0" distB="0" distL="0" distR="0" wp14:anchorId="6A267F0C" wp14:editId="61E4F03C">
            <wp:extent cx="4362450" cy="3209925"/>
            <wp:effectExtent l="0" t="0" r="0" b="9525"/>
            <wp:docPr id="4" name="Picture 4" descr="Leading Causes of Cancer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ing Causes of Cancer Dea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3209925"/>
                    </a:xfrm>
                    <a:prstGeom prst="rect">
                      <a:avLst/>
                    </a:prstGeom>
                    <a:noFill/>
                    <a:ln>
                      <a:noFill/>
                    </a:ln>
                  </pic:spPr>
                </pic:pic>
              </a:graphicData>
            </a:graphic>
          </wp:inline>
        </w:drawing>
      </w:r>
    </w:p>
    <w:p w:rsidR="004946F7" w:rsidRPr="004946F7" w:rsidRDefault="004946F7" w:rsidP="004946F7">
      <w:pPr>
        <w:spacing w:line="480" w:lineRule="auto"/>
        <w:jc w:val="center"/>
        <w:rPr>
          <w:rFonts w:ascii="Arial" w:hAnsi="Arial" w:cs="Arial"/>
          <w:b/>
          <w:sz w:val="16"/>
          <w:szCs w:val="16"/>
        </w:rPr>
      </w:pPr>
      <w:r w:rsidRPr="004946F7">
        <w:rPr>
          <w:rFonts w:ascii="Arial" w:hAnsi="Arial" w:cs="Arial"/>
          <w:b/>
          <w:sz w:val="16"/>
          <w:szCs w:val="16"/>
        </w:rPr>
        <w:t>Figure 1: Lung cancer deaths compared to dea</w:t>
      </w:r>
      <w:r w:rsidR="00E141DC">
        <w:rPr>
          <w:rFonts w:ascii="Arial" w:hAnsi="Arial" w:cs="Arial"/>
          <w:b/>
          <w:sz w:val="16"/>
          <w:szCs w:val="16"/>
        </w:rPr>
        <w:t>th from other types of cancer [2</w:t>
      </w:r>
      <w:r w:rsidRPr="004946F7">
        <w:rPr>
          <w:rFonts w:ascii="Arial" w:hAnsi="Arial" w:cs="Arial"/>
          <w:b/>
          <w:sz w:val="16"/>
          <w:szCs w:val="16"/>
        </w:rPr>
        <w:t>].</w:t>
      </w:r>
    </w:p>
    <w:p w:rsidR="00C50DE0" w:rsidRDefault="00C50DE0" w:rsidP="00231EAA">
      <w:pPr>
        <w:spacing w:after="0" w:line="480" w:lineRule="auto"/>
        <w:rPr>
          <w:rFonts w:ascii="Arial" w:hAnsi="Arial" w:cs="Arial"/>
          <w:sz w:val="20"/>
          <w:szCs w:val="20"/>
        </w:rPr>
      </w:pPr>
      <w:r>
        <w:rPr>
          <w:rFonts w:ascii="Arial" w:hAnsi="Arial" w:cs="Arial"/>
          <w:sz w:val="20"/>
          <w:szCs w:val="20"/>
        </w:rPr>
        <w:tab/>
        <w:t>Currently, the only definitive detection methods for lung cancer are chest x-rays, computed tomography (CT), and surgical biopsy of possibly cancerous tissue.  However, lung cancer is first suspected based on the symptoms of chest pain, blood in expectorate, short</w:t>
      </w:r>
      <w:r w:rsidR="0040749B">
        <w:rPr>
          <w:rFonts w:ascii="Arial" w:hAnsi="Arial" w:cs="Arial"/>
          <w:sz w:val="20"/>
          <w:szCs w:val="20"/>
        </w:rPr>
        <w:t>ness of breath, and weight loss [</w:t>
      </w:r>
      <w:r w:rsidR="00E141DC">
        <w:rPr>
          <w:rFonts w:ascii="Arial" w:hAnsi="Arial" w:cs="Arial"/>
          <w:sz w:val="20"/>
          <w:szCs w:val="20"/>
        </w:rPr>
        <w:t>3</w:t>
      </w:r>
      <w:r w:rsidR="0040749B">
        <w:rPr>
          <w:rFonts w:ascii="Arial" w:hAnsi="Arial" w:cs="Arial"/>
          <w:sz w:val="20"/>
          <w:szCs w:val="20"/>
        </w:rPr>
        <w:t xml:space="preserve">].  Currently, the American Society of Clinical Oncologists suggests yearly screenings of low-dose </w:t>
      </w:r>
      <w:r w:rsidR="0040749B">
        <w:rPr>
          <w:rFonts w:ascii="Arial" w:hAnsi="Arial" w:cs="Arial"/>
          <w:sz w:val="20"/>
          <w:szCs w:val="20"/>
        </w:rPr>
        <w:lastRenderedPageBreak/>
        <w:t>computed tomography for at risk individu</w:t>
      </w:r>
      <w:r w:rsidR="00ED6E66">
        <w:rPr>
          <w:rFonts w:ascii="Arial" w:hAnsi="Arial" w:cs="Arial"/>
          <w:sz w:val="20"/>
          <w:szCs w:val="20"/>
        </w:rPr>
        <w:t>als.  The Society does not recommend, however, the screening of individuals who may develop lung cancer from working with industrial carcinogens (like asbestos) or individuals who have had significant exposure to secondhand smoke over the course of their lifetime.</w:t>
      </w:r>
      <w:r w:rsidR="00145DED">
        <w:rPr>
          <w:rFonts w:ascii="Arial" w:hAnsi="Arial" w:cs="Arial"/>
          <w:sz w:val="20"/>
          <w:szCs w:val="20"/>
        </w:rPr>
        <w:t xml:space="preserve">  In 2012, these “never smokers” represented 10-2</w:t>
      </w:r>
      <w:r w:rsidR="00013C04">
        <w:rPr>
          <w:rFonts w:ascii="Arial" w:hAnsi="Arial" w:cs="Arial"/>
          <w:sz w:val="20"/>
          <w:szCs w:val="20"/>
        </w:rPr>
        <w:t>0% of all lung cancer diagnoses [</w:t>
      </w:r>
      <w:r w:rsidR="00E141DC">
        <w:rPr>
          <w:rFonts w:ascii="Arial" w:hAnsi="Arial" w:cs="Arial"/>
          <w:sz w:val="20"/>
          <w:szCs w:val="20"/>
        </w:rPr>
        <w:t>4</w:t>
      </w:r>
      <w:r w:rsidR="00013C04">
        <w:rPr>
          <w:rFonts w:ascii="Arial" w:hAnsi="Arial" w:cs="Arial"/>
          <w:sz w:val="20"/>
          <w:szCs w:val="20"/>
        </w:rPr>
        <w:t>].</w:t>
      </w:r>
    </w:p>
    <w:p w:rsidR="00D81556" w:rsidRDefault="00D81556" w:rsidP="00231EAA">
      <w:pPr>
        <w:spacing w:after="0" w:line="480" w:lineRule="auto"/>
        <w:rPr>
          <w:rFonts w:ascii="Arial" w:hAnsi="Arial" w:cs="Arial"/>
          <w:sz w:val="20"/>
          <w:szCs w:val="20"/>
        </w:rPr>
      </w:pPr>
      <w:r>
        <w:rPr>
          <w:rFonts w:ascii="Arial" w:hAnsi="Arial" w:cs="Arial"/>
          <w:sz w:val="20"/>
          <w:szCs w:val="20"/>
        </w:rPr>
        <w:tab/>
        <w:t>No effective screening method for lung cancer exists apart from CT.  CT can give detailed anatomical information, but often lacks in the ability to differentiate between malignant and benign cancerous lesions [</w:t>
      </w:r>
      <w:r w:rsidR="00E141DC">
        <w:rPr>
          <w:rFonts w:ascii="Arial" w:hAnsi="Arial" w:cs="Arial"/>
          <w:sz w:val="20"/>
          <w:szCs w:val="20"/>
        </w:rPr>
        <w:t>5</w:t>
      </w:r>
      <w:r>
        <w:rPr>
          <w:rFonts w:ascii="Arial" w:hAnsi="Arial" w:cs="Arial"/>
          <w:sz w:val="20"/>
          <w:szCs w:val="20"/>
        </w:rPr>
        <w:t>].</w:t>
      </w:r>
      <w:r w:rsidR="00991FC7">
        <w:rPr>
          <w:rFonts w:ascii="Arial" w:hAnsi="Arial" w:cs="Arial"/>
          <w:sz w:val="20"/>
          <w:szCs w:val="20"/>
        </w:rPr>
        <w:t xml:space="preserve">  Chest x-rays are not sensitive enough to pick up on the earlier stages of lung cancer [</w:t>
      </w:r>
      <w:r w:rsidR="00E141DC">
        <w:rPr>
          <w:rFonts w:ascii="Arial" w:hAnsi="Arial" w:cs="Arial"/>
          <w:sz w:val="20"/>
          <w:szCs w:val="20"/>
        </w:rPr>
        <w:t>5</w:t>
      </w:r>
      <w:r w:rsidR="00991FC7">
        <w:rPr>
          <w:rFonts w:ascii="Arial" w:hAnsi="Arial" w:cs="Arial"/>
          <w:sz w:val="20"/>
          <w:szCs w:val="20"/>
        </w:rPr>
        <w:t>].  In addition, both these methods are impractical for use as annual screening methods over a number of years due to the high dosage of radiation that can be incurred on the patient.</w:t>
      </w:r>
      <w:r w:rsidR="00EC707B">
        <w:rPr>
          <w:rFonts w:ascii="Arial" w:hAnsi="Arial" w:cs="Arial"/>
          <w:sz w:val="20"/>
          <w:szCs w:val="20"/>
        </w:rPr>
        <w:t xml:space="preserve">  As a result, lung cancer is not often definitively diagnosed until histology can be performed on tissue from a surgical biopsy.  However, by the time a surgical biopsy is performed, lung cancer is already suspected and may be at an advanced stage.  This has led researchers to look for alternative ways</w:t>
      </w:r>
      <w:r w:rsidR="009E4815">
        <w:rPr>
          <w:rFonts w:ascii="Arial" w:hAnsi="Arial" w:cs="Arial"/>
          <w:sz w:val="20"/>
          <w:szCs w:val="20"/>
        </w:rPr>
        <w:t xml:space="preserve"> to diagnose lung cancer using molecular biology and non-invasive sample collection methods. </w:t>
      </w:r>
    </w:p>
    <w:p w:rsidR="0040749B" w:rsidRDefault="0040749B" w:rsidP="00231EAA">
      <w:pPr>
        <w:spacing w:after="0" w:line="480" w:lineRule="auto"/>
        <w:rPr>
          <w:rFonts w:ascii="Arial" w:hAnsi="Arial" w:cs="Arial"/>
          <w:sz w:val="20"/>
          <w:szCs w:val="20"/>
        </w:rPr>
      </w:pPr>
    </w:p>
    <w:p w:rsidR="00F752ED" w:rsidRPr="00F752ED" w:rsidRDefault="00F752ED" w:rsidP="00231EAA">
      <w:pPr>
        <w:spacing w:after="0" w:line="480" w:lineRule="auto"/>
        <w:rPr>
          <w:rFonts w:ascii="Arial" w:hAnsi="Arial" w:cs="Arial"/>
          <w:i/>
          <w:sz w:val="20"/>
          <w:szCs w:val="20"/>
        </w:rPr>
      </w:pPr>
      <w:r>
        <w:rPr>
          <w:rFonts w:ascii="Arial" w:hAnsi="Arial" w:cs="Arial"/>
          <w:i/>
          <w:sz w:val="20"/>
          <w:szCs w:val="20"/>
        </w:rPr>
        <w:t xml:space="preserve">Epidermal growth factor </w:t>
      </w:r>
      <w:proofErr w:type="spellStart"/>
      <w:r>
        <w:rPr>
          <w:rFonts w:ascii="Arial" w:hAnsi="Arial" w:cs="Arial"/>
          <w:i/>
          <w:sz w:val="20"/>
          <w:szCs w:val="20"/>
        </w:rPr>
        <w:t>recpetors</w:t>
      </w:r>
      <w:proofErr w:type="spellEnd"/>
    </w:p>
    <w:p w:rsidR="000C264E" w:rsidRDefault="00AE67E6" w:rsidP="00231EAA">
      <w:pPr>
        <w:spacing w:after="0" w:line="480" w:lineRule="auto"/>
        <w:rPr>
          <w:rFonts w:ascii="Arial" w:hAnsi="Arial" w:cs="Arial"/>
          <w:sz w:val="20"/>
          <w:szCs w:val="20"/>
        </w:rPr>
      </w:pPr>
      <w:r>
        <w:rPr>
          <w:rFonts w:ascii="Arial" w:hAnsi="Arial" w:cs="Arial"/>
          <w:sz w:val="20"/>
          <w:szCs w:val="20"/>
        </w:rPr>
        <w:tab/>
        <w:t xml:space="preserve">Epidermal growth factor receptor </w:t>
      </w:r>
      <w:r w:rsidR="00CB08E2">
        <w:rPr>
          <w:rFonts w:ascii="Arial" w:hAnsi="Arial" w:cs="Arial"/>
          <w:sz w:val="20"/>
          <w:szCs w:val="20"/>
        </w:rPr>
        <w:t>(</w:t>
      </w:r>
      <w:r w:rsidR="002F6F95">
        <w:rPr>
          <w:rFonts w:ascii="Arial" w:hAnsi="Arial" w:cs="Arial"/>
          <w:sz w:val="20"/>
          <w:szCs w:val="20"/>
        </w:rPr>
        <w:t xml:space="preserve">EGFR) </w:t>
      </w:r>
      <w:r>
        <w:rPr>
          <w:rFonts w:ascii="Arial" w:hAnsi="Arial" w:cs="Arial"/>
          <w:sz w:val="20"/>
          <w:szCs w:val="20"/>
        </w:rPr>
        <w:t>is a protein found on cell membranes.  Upon interaction with growth factor ligands, the receptor activates several cellular signaling cascades, including ones for cell division [</w:t>
      </w:r>
      <w:r w:rsidR="00E141DC">
        <w:rPr>
          <w:rFonts w:ascii="Arial" w:hAnsi="Arial" w:cs="Arial"/>
          <w:sz w:val="20"/>
          <w:szCs w:val="20"/>
        </w:rPr>
        <w:t>6</w:t>
      </w:r>
      <w:r>
        <w:rPr>
          <w:rFonts w:ascii="Arial" w:hAnsi="Arial" w:cs="Arial"/>
          <w:sz w:val="20"/>
          <w:szCs w:val="20"/>
        </w:rPr>
        <w:t>]</w:t>
      </w:r>
      <w:r w:rsidR="00CB08E2">
        <w:rPr>
          <w:rFonts w:ascii="Arial" w:hAnsi="Arial" w:cs="Arial"/>
          <w:sz w:val="20"/>
          <w:szCs w:val="20"/>
        </w:rPr>
        <w:t xml:space="preserve">.  It should be no surprise then that mutations affecting </w:t>
      </w:r>
      <w:r w:rsidR="002F6F95">
        <w:rPr>
          <w:rFonts w:ascii="Arial" w:hAnsi="Arial" w:cs="Arial"/>
          <w:sz w:val="20"/>
          <w:szCs w:val="20"/>
        </w:rPr>
        <w:t xml:space="preserve">the </w:t>
      </w:r>
      <w:r w:rsidR="008C67A6">
        <w:rPr>
          <w:rFonts w:ascii="Arial" w:hAnsi="Arial" w:cs="Arial"/>
          <w:sz w:val="20"/>
          <w:szCs w:val="20"/>
        </w:rPr>
        <w:t>regulation</w:t>
      </w:r>
      <w:r w:rsidR="002F6F95">
        <w:rPr>
          <w:rFonts w:ascii="Arial" w:hAnsi="Arial" w:cs="Arial"/>
          <w:sz w:val="20"/>
          <w:szCs w:val="20"/>
        </w:rPr>
        <w:t xml:space="preserve"> of EGFRs have been found to be associated with cancer [</w:t>
      </w:r>
      <w:r w:rsidR="00E141DC">
        <w:rPr>
          <w:rFonts w:ascii="Arial" w:hAnsi="Arial" w:cs="Arial"/>
          <w:sz w:val="20"/>
          <w:szCs w:val="20"/>
        </w:rPr>
        <w:t>7</w:t>
      </w:r>
      <w:r w:rsidR="002F6F95">
        <w:rPr>
          <w:rFonts w:ascii="Arial" w:hAnsi="Arial" w:cs="Arial"/>
          <w:sz w:val="20"/>
          <w:szCs w:val="20"/>
        </w:rPr>
        <w:t>].</w:t>
      </w:r>
      <w:r w:rsidR="008B7594">
        <w:rPr>
          <w:rFonts w:ascii="Arial" w:hAnsi="Arial" w:cs="Arial"/>
          <w:sz w:val="20"/>
          <w:szCs w:val="20"/>
        </w:rPr>
        <w:t xml:space="preserve">  Mutations often occur on exons 18-21 of the EGFR gene; this string of code is associated with the part of an EGFR that increases kinase activity.  Commons mutations are a de</w:t>
      </w:r>
      <w:r w:rsidR="001E2508">
        <w:rPr>
          <w:rFonts w:ascii="Arial" w:hAnsi="Arial" w:cs="Arial"/>
          <w:sz w:val="20"/>
          <w:szCs w:val="20"/>
        </w:rPr>
        <w:t>letion in exon 19 and</w:t>
      </w:r>
      <w:r w:rsidR="00BE3D6F">
        <w:rPr>
          <w:rFonts w:ascii="Arial" w:hAnsi="Arial" w:cs="Arial"/>
          <w:sz w:val="20"/>
          <w:szCs w:val="20"/>
        </w:rPr>
        <w:t xml:space="preserve"> a point mutation at exon 21.</w:t>
      </w:r>
      <w:r w:rsidR="004F2B89">
        <w:rPr>
          <w:rFonts w:ascii="Arial" w:hAnsi="Arial" w:cs="Arial"/>
          <w:sz w:val="20"/>
          <w:szCs w:val="20"/>
        </w:rPr>
        <w:t xml:space="preserve">  These mutations are also extremely common in “never smokers” who still develop </w:t>
      </w:r>
      <w:r w:rsidR="00E141DC">
        <w:rPr>
          <w:rFonts w:ascii="Arial" w:hAnsi="Arial" w:cs="Arial"/>
          <w:sz w:val="20"/>
          <w:szCs w:val="20"/>
        </w:rPr>
        <w:t>lung cancer [8</w:t>
      </w:r>
      <w:r w:rsidR="004F2B89">
        <w:rPr>
          <w:rFonts w:ascii="Arial" w:hAnsi="Arial" w:cs="Arial"/>
          <w:sz w:val="20"/>
          <w:szCs w:val="20"/>
        </w:rPr>
        <w:t>].</w:t>
      </w:r>
    </w:p>
    <w:p w:rsidR="002B7064" w:rsidRDefault="000C264E" w:rsidP="00231EAA">
      <w:pPr>
        <w:spacing w:after="0" w:line="480" w:lineRule="auto"/>
        <w:rPr>
          <w:rFonts w:ascii="Arial" w:hAnsi="Arial" w:cs="Arial"/>
          <w:sz w:val="20"/>
          <w:szCs w:val="20"/>
        </w:rPr>
      </w:pPr>
      <w:r>
        <w:rPr>
          <w:rFonts w:ascii="Arial" w:hAnsi="Arial" w:cs="Arial"/>
          <w:sz w:val="20"/>
          <w:szCs w:val="20"/>
        </w:rPr>
        <w:tab/>
        <w:t>EGFRs are present in many cells, including bronchial epithelial cells where they have been implicated in damage repair and mucus secret</w:t>
      </w:r>
      <w:r w:rsidR="00E141DC">
        <w:rPr>
          <w:rFonts w:ascii="Arial" w:hAnsi="Arial" w:cs="Arial"/>
          <w:sz w:val="20"/>
          <w:szCs w:val="20"/>
        </w:rPr>
        <w:t>ion [9</w:t>
      </w:r>
      <w:r>
        <w:rPr>
          <w:rFonts w:ascii="Arial" w:hAnsi="Arial" w:cs="Arial"/>
          <w:sz w:val="20"/>
          <w:szCs w:val="20"/>
        </w:rPr>
        <w:t>]</w:t>
      </w:r>
      <w:r w:rsidR="00806493">
        <w:rPr>
          <w:rFonts w:ascii="Arial" w:hAnsi="Arial" w:cs="Arial"/>
          <w:sz w:val="20"/>
          <w:szCs w:val="20"/>
        </w:rPr>
        <w:t>.  Genetic analysis of these cells taken from the airway can provide information regarding the presence of EGFR mutations.</w:t>
      </w:r>
    </w:p>
    <w:p w:rsidR="002B7064" w:rsidRDefault="002B7064" w:rsidP="002B7064">
      <w:pPr>
        <w:spacing w:after="0" w:line="480" w:lineRule="auto"/>
        <w:rPr>
          <w:rFonts w:ascii="Arial" w:hAnsi="Arial" w:cs="Arial"/>
          <w:i/>
          <w:sz w:val="20"/>
          <w:szCs w:val="20"/>
        </w:rPr>
      </w:pPr>
    </w:p>
    <w:p w:rsidR="000668A6" w:rsidRDefault="000668A6" w:rsidP="002B7064">
      <w:pPr>
        <w:spacing w:after="0" w:line="480" w:lineRule="auto"/>
        <w:rPr>
          <w:rFonts w:ascii="Arial" w:hAnsi="Arial" w:cs="Arial"/>
          <w:i/>
          <w:sz w:val="20"/>
          <w:szCs w:val="20"/>
        </w:rPr>
      </w:pPr>
    </w:p>
    <w:p w:rsidR="000668A6" w:rsidRDefault="000668A6" w:rsidP="002B7064">
      <w:pPr>
        <w:spacing w:after="0" w:line="480" w:lineRule="auto"/>
        <w:rPr>
          <w:rFonts w:ascii="Arial" w:hAnsi="Arial" w:cs="Arial"/>
          <w:i/>
          <w:sz w:val="20"/>
          <w:szCs w:val="20"/>
        </w:rPr>
      </w:pPr>
    </w:p>
    <w:p w:rsidR="002B7064" w:rsidRPr="004B2EBB" w:rsidRDefault="002B7064" w:rsidP="002B7064">
      <w:pPr>
        <w:spacing w:after="0" w:line="480" w:lineRule="auto"/>
        <w:rPr>
          <w:rFonts w:ascii="Arial" w:hAnsi="Arial" w:cs="Arial"/>
          <w:sz w:val="20"/>
          <w:szCs w:val="20"/>
        </w:rPr>
      </w:pPr>
      <w:r w:rsidRPr="004B2EBB">
        <w:rPr>
          <w:rFonts w:ascii="Arial" w:hAnsi="Arial" w:cs="Arial"/>
          <w:i/>
          <w:sz w:val="20"/>
          <w:szCs w:val="20"/>
        </w:rPr>
        <w:lastRenderedPageBreak/>
        <w:t>Collection and enrichment of sputum</w:t>
      </w:r>
    </w:p>
    <w:p w:rsidR="002B7064" w:rsidRDefault="002B7064" w:rsidP="00231EAA">
      <w:pPr>
        <w:spacing w:after="0" w:line="480" w:lineRule="auto"/>
        <w:rPr>
          <w:rFonts w:ascii="Arial" w:hAnsi="Arial" w:cs="Arial"/>
          <w:sz w:val="20"/>
          <w:szCs w:val="20"/>
        </w:rPr>
      </w:pPr>
      <w:r w:rsidRPr="004B2EBB">
        <w:rPr>
          <w:rFonts w:ascii="Arial" w:hAnsi="Arial" w:cs="Arial"/>
          <w:sz w:val="20"/>
          <w:szCs w:val="20"/>
        </w:rPr>
        <w:tab/>
        <w:t>A sputum sample</w:t>
      </w:r>
      <w:r>
        <w:rPr>
          <w:rFonts w:ascii="Arial" w:hAnsi="Arial" w:cs="Arial"/>
          <w:sz w:val="20"/>
          <w:szCs w:val="20"/>
        </w:rPr>
        <w:t xml:space="preserve"> for genetic analysis</w:t>
      </w:r>
      <w:r w:rsidRPr="004B2EBB">
        <w:rPr>
          <w:rFonts w:ascii="Arial" w:hAnsi="Arial" w:cs="Arial"/>
          <w:sz w:val="20"/>
          <w:szCs w:val="20"/>
        </w:rPr>
        <w:t xml:space="preserve"> can be obtained non-invasively [</w:t>
      </w:r>
      <w:r w:rsidR="00E141DC">
        <w:rPr>
          <w:rFonts w:ascii="Arial" w:hAnsi="Arial" w:cs="Arial"/>
          <w:sz w:val="20"/>
          <w:szCs w:val="20"/>
        </w:rPr>
        <w:t>10</w:t>
      </w:r>
      <w:r w:rsidRPr="004B2EBB">
        <w:rPr>
          <w:rFonts w:ascii="Arial" w:hAnsi="Arial" w:cs="Arial"/>
          <w:sz w:val="20"/>
          <w:szCs w:val="20"/>
        </w:rPr>
        <w:t>] but requires enrichment before genetic examination [</w:t>
      </w:r>
      <w:r w:rsidR="00E141DC">
        <w:rPr>
          <w:rFonts w:ascii="Arial" w:hAnsi="Arial" w:cs="Arial"/>
          <w:sz w:val="20"/>
          <w:szCs w:val="20"/>
        </w:rPr>
        <w:t>11</w:t>
      </w:r>
      <w:r w:rsidRPr="004B2EBB">
        <w:rPr>
          <w:rFonts w:ascii="Arial" w:hAnsi="Arial" w:cs="Arial"/>
          <w:sz w:val="20"/>
          <w:szCs w:val="20"/>
        </w:rPr>
        <w:t>,</w:t>
      </w:r>
      <w:r w:rsidR="00E141DC">
        <w:rPr>
          <w:rFonts w:ascii="Arial" w:hAnsi="Arial" w:cs="Arial"/>
          <w:sz w:val="20"/>
          <w:szCs w:val="20"/>
        </w:rPr>
        <w:t xml:space="preserve"> 12</w:t>
      </w:r>
      <w:r w:rsidRPr="004B2EBB">
        <w:rPr>
          <w:rFonts w:ascii="Arial" w:hAnsi="Arial" w:cs="Arial"/>
          <w:sz w:val="20"/>
          <w:szCs w:val="20"/>
        </w:rPr>
        <w:t>].  After enrichment, each sample contains enough material to undergo gene chip analysis as</w:t>
      </w:r>
      <w:r w:rsidR="00E141DC">
        <w:rPr>
          <w:rFonts w:ascii="Arial" w:hAnsi="Arial" w:cs="Arial"/>
          <w:sz w:val="20"/>
          <w:szCs w:val="20"/>
        </w:rPr>
        <w:t xml:space="preserve"> </w:t>
      </w:r>
      <w:r w:rsidR="005A3470">
        <w:rPr>
          <w:rFonts w:ascii="Arial" w:hAnsi="Arial" w:cs="Arial"/>
          <w:sz w:val="20"/>
          <w:szCs w:val="20"/>
        </w:rPr>
        <w:t xml:space="preserve">demonstrated by Jiang </w:t>
      </w:r>
      <w:proofErr w:type="gramStart"/>
      <w:r w:rsidR="005A3470">
        <w:rPr>
          <w:rFonts w:ascii="Arial" w:hAnsi="Arial" w:cs="Arial"/>
          <w:sz w:val="20"/>
          <w:szCs w:val="20"/>
        </w:rPr>
        <w:t>et</w:t>
      </w:r>
      <w:proofErr w:type="gramEnd"/>
      <w:r w:rsidR="005A3470">
        <w:rPr>
          <w:rFonts w:ascii="Arial" w:hAnsi="Arial" w:cs="Arial"/>
          <w:sz w:val="20"/>
          <w:szCs w:val="20"/>
        </w:rPr>
        <w:t xml:space="preserve">. </w:t>
      </w:r>
      <w:proofErr w:type="gramStart"/>
      <w:r w:rsidR="005A3470">
        <w:rPr>
          <w:rFonts w:ascii="Arial" w:hAnsi="Arial" w:cs="Arial"/>
          <w:sz w:val="20"/>
          <w:szCs w:val="20"/>
        </w:rPr>
        <w:t>al</w:t>
      </w:r>
      <w:proofErr w:type="gramEnd"/>
      <w:r w:rsidR="005A3470">
        <w:rPr>
          <w:rFonts w:ascii="Arial" w:hAnsi="Arial" w:cs="Arial"/>
          <w:sz w:val="20"/>
          <w:szCs w:val="20"/>
        </w:rPr>
        <w:t xml:space="preserve"> [5</w:t>
      </w:r>
      <w:r w:rsidRPr="004B2EBB">
        <w:rPr>
          <w:rFonts w:ascii="Arial" w:hAnsi="Arial" w:cs="Arial"/>
          <w:sz w:val="20"/>
          <w:szCs w:val="20"/>
        </w:rPr>
        <w:t>].  Since the device presented here will require approximately the same amount of genetic material as needed for a gene chip, a post-enrichment sputum sample can be used for analysis.</w:t>
      </w:r>
    </w:p>
    <w:p w:rsidR="000668A6" w:rsidRDefault="000668A6" w:rsidP="00231EAA">
      <w:pPr>
        <w:spacing w:after="0" w:line="480" w:lineRule="auto"/>
        <w:rPr>
          <w:rFonts w:ascii="Arial" w:hAnsi="Arial" w:cs="Arial"/>
          <w:sz w:val="20"/>
          <w:szCs w:val="20"/>
        </w:rPr>
      </w:pPr>
    </w:p>
    <w:p w:rsidR="006B7F8D" w:rsidRPr="004B2EBB" w:rsidRDefault="006B7F8D" w:rsidP="00231EAA">
      <w:pPr>
        <w:spacing w:after="0" w:line="480" w:lineRule="auto"/>
        <w:rPr>
          <w:rFonts w:ascii="Arial" w:hAnsi="Arial" w:cs="Arial"/>
          <w:sz w:val="20"/>
          <w:szCs w:val="20"/>
        </w:rPr>
      </w:pPr>
      <w:r w:rsidRPr="004B2EBB">
        <w:rPr>
          <w:rFonts w:ascii="Arial" w:hAnsi="Arial" w:cs="Arial"/>
          <w:i/>
          <w:sz w:val="20"/>
          <w:szCs w:val="20"/>
        </w:rPr>
        <w:t>Detection of EGFR for lung cancer diagnosis</w:t>
      </w:r>
    </w:p>
    <w:p w:rsidR="00231EAA" w:rsidRPr="004B2EBB" w:rsidRDefault="00231EAA" w:rsidP="006B7F8D">
      <w:pPr>
        <w:spacing w:after="0" w:line="480" w:lineRule="auto"/>
        <w:ind w:firstLine="720"/>
        <w:rPr>
          <w:rFonts w:ascii="Arial" w:hAnsi="Arial" w:cs="Arial"/>
          <w:sz w:val="20"/>
          <w:szCs w:val="20"/>
        </w:rPr>
      </w:pPr>
      <w:r w:rsidRPr="004B2EBB">
        <w:rPr>
          <w:rFonts w:ascii="Arial" w:hAnsi="Arial" w:cs="Arial"/>
          <w:sz w:val="20"/>
          <w:szCs w:val="20"/>
        </w:rPr>
        <w:t>Extensive research has already been completed on using genetic material to determine the pr</w:t>
      </w:r>
      <w:r w:rsidR="00637CD0">
        <w:rPr>
          <w:rFonts w:ascii="Arial" w:hAnsi="Arial" w:cs="Arial"/>
          <w:sz w:val="20"/>
          <w:szCs w:val="20"/>
        </w:rPr>
        <w:t>esence of mutated EGFRs</w:t>
      </w:r>
      <w:r w:rsidRPr="004B2EBB">
        <w:rPr>
          <w:rFonts w:ascii="Arial" w:hAnsi="Arial" w:cs="Arial"/>
          <w:sz w:val="20"/>
          <w:szCs w:val="20"/>
        </w:rPr>
        <w:t xml:space="preserve"> [1</w:t>
      </w:r>
      <w:r w:rsidR="005A3470">
        <w:rPr>
          <w:rFonts w:ascii="Arial" w:hAnsi="Arial" w:cs="Arial"/>
          <w:sz w:val="20"/>
          <w:szCs w:val="20"/>
        </w:rPr>
        <w:t>3</w:t>
      </w:r>
      <w:r w:rsidRPr="004B2EBB">
        <w:rPr>
          <w:rFonts w:ascii="Arial" w:hAnsi="Arial" w:cs="Arial"/>
          <w:sz w:val="20"/>
          <w:szCs w:val="20"/>
        </w:rPr>
        <w:t>].</w:t>
      </w:r>
      <w:r w:rsidR="00BE3D6F">
        <w:rPr>
          <w:rFonts w:ascii="Arial" w:hAnsi="Arial" w:cs="Arial"/>
          <w:sz w:val="20"/>
          <w:szCs w:val="20"/>
        </w:rPr>
        <w:t xml:space="preserve">  In addition, </w:t>
      </w:r>
      <w:r w:rsidRPr="004B2EBB">
        <w:rPr>
          <w:rFonts w:ascii="Arial" w:hAnsi="Arial" w:cs="Arial"/>
          <w:sz w:val="20"/>
          <w:szCs w:val="20"/>
        </w:rPr>
        <w:t xml:space="preserve">  </w:t>
      </w:r>
      <w:proofErr w:type="gramStart"/>
      <w:r w:rsidR="0049315F" w:rsidRPr="004B2EBB">
        <w:rPr>
          <w:rFonts w:ascii="Arial" w:hAnsi="Arial" w:cs="Arial"/>
          <w:sz w:val="20"/>
          <w:szCs w:val="20"/>
        </w:rPr>
        <w:t>The</w:t>
      </w:r>
      <w:proofErr w:type="gramEnd"/>
      <w:r w:rsidR="0049315F" w:rsidRPr="004B2EBB">
        <w:rPr>
          <w:rFonts w:ascii="Arial" w:hAnsi="Arial" w:cs="Arial"/>
          <w:sz w:val="20"/>
          <w:szCs w:val="20"/>
        </w:rPr>
        <w:t xml:space="preserve"> most commonly used method is direct sequencing, in which DNA containing the mutated exon 19 are amplified and detected using gel electrophoresis.  </w:t>
      </w:r>
      <w:r w:rsidRPr="004B2EBB">
        <w:rPr>
          <w:rFonts w:ascii="Arial" w:hAnsi="Arial" w:cs="Arial"/>
          <w:sz w:val="20"/>
          <w:szCs w:val="20"/>
        </w:rPr>
        <w:t xml:space="preserve">However, these methods usually require large amounts of DNA in the form of samples from invasive procedures, like tissue from surgical biopsy or pleural effusion from </w:t>
      </w:r>
      <w:proofErr w:type="spellStart"/>
      <w:r w:rsidRPr="004B2EBB">
        <w:rPr>
          <w:rFonts w:ascii="Arial" w:hAnsi="Arial" w:cs="Arial"/>
          <w:sz w:val="20"/>
          <w:szCs w:val="20"/>
        </w:rPr>
        <w:t>thoracentesis</w:t>
      </w:r>
      <w:proofErr w:type="spellEnd"/>
      <w:r w:rsidRPr="004B2EBB">
        <w:rPr>
          <w:rFonts w:ascii="Arial" w:hAnsi="Arial" w:cs="Arial"/>
          <w:sz w:val="20"/>
          <w:szCs w:val="20"/>
        </w:rPr>
        <w:t>.  Some procedures</w:t>
      </w:r>
      <w:r w:rsidR="00B70691" w:rsidRPr="004B2EBB">
        <w:rPr>
          <w:rFonts w:ascii="Arial" w:hAnsi="Arial" w:cs="Arial"/>
          <w:sz w:val="20"/>
          <w:szCs w:val="20"/>
        </w:rPr>
        <w:t>, like direct sequencing,</w:t>
      </w:r>
      <w:r w:rsidRPr="004B2EBB">
        <w:rPr>
          <w:rFonts w:ascii="Arial" w:hAnsi="Arial" w:cs="Arial"/>
          <w:sz w:val="20"/>
          <w:szCs w:val="20"/>
        </w:rPr>
        <w:t xml:space="preserve"> require that at least 20% of the cells examined must have the EGFR mutation for the test to register as positive.</w:t>
      </w:r>
      <w:r w:rsidR="00B70691" w:rsidRPr="004B2EBB">
        <w:rPr>
          <w:rFonts w:ascii="Arial" w:hAnsi="Arial" w:cs="Arial"/>
          <w:sz w:val="20"/>
          <w:szCs w:val="20"/>
        </w:rPr>
        <w:t xml:space="preserve">  Since the range of actual tumor cells containing the mutation in a histological sample can vary from 5 to 100% [1</w:t>
      </w:r>
      <w:r w:rsidR="005A3470">
        <w:rPr>
          <w:rFonts w:ascii="Arial" w:hAnsi="Arial" w:cs="Arial"/>
          <w:sz w:val="20"/>
          <w:szCs w:val="20"/>
        </w:rPr>
        <w:t>3</w:t>
      </w:r>
      <w:r w:rsidR="00B70691" w:rsidRPr="004B2EBB">
        <w:rPr>
          <w:rFonts w:ascii="Arial" w:hAnsi="Arial" w:cs="Arial"/>
          <w:sz w:val="20"/>
          <w:szCs w:val="20"/>
        </w:rPr>
        <w:t>], tests like direct sequencing can miss important diagnostic information.</w:t>
      </w:r>
    </w:p>
    <w:p w:rsidR="0049315F" w:rsidRPr="004B2EBB" w:rsidRDefault="0049315F" w:rsidP="00231EAA">
      <w:pPr>
        <w:spacing w:after="0" w:line="480" w:lineRule="auto"/>
        <w:rPr>
          <w:rFonts w:ascii="Arial" w:hAnsi="Arial" w:cs="Arial"/>
          <w:sz w:val="20"/>
          <w:szCs w:val="20"/>
        </w:rPr>
      </w:pPr>
      <w:r w:rsidRPr="004B2EBB">
        <w:rPr>
          <w:rFonts w:ascii="Arial" w:hAnsi="Arial" w:cs="Arial"/>
          <w:sz w:val="20"/>
          <w:szCs w:val="20"/>
        </w:rPr>
        <w:tab/>
        <w:t>Another method for the detection of</w:t>
      </w:r>
      <w:r w:rsidR="00A80BD4" w:rsidRPr="004B2EBB">
        <w:rPr>
          <w:rFonts w:ascii="Arial" w:hAnsi="Arial" w:cs="Arial"/>
          <w:sz w:val="20"/>
          <w:szCs w:val="20"/>
        </w:rPr>
        <w:t xml:space="preserve"> mutation-bearing genetic sequences is denaturing high performance liquid chromatog</w:t>
      </w:r>
      <w:r w:rsidR="00E141DC">
        <w:rPr>
          <w:rFonts w:ascii="Arial" w:hAnsi="Arial" w:cs="Arial"/>
          <w:sz w:val="20"/>
          <w:szCs w:val="20"/>
        </w:rPr>
        <w:t>raphy (</w:t>
      </w:r>
      <w:proofErr w:type="spellStart"/>
      <w:r w:rsidR="00E141DC">
        <w:rPr>
          <w:rFonts w:ascii="Arial" w:hAnsi="Arial" w:cs="Arial"/>
          <w:sz w:val="20"/>
          <w:szCs w:val="20"/>
        </w:rPr>
        <w:t>dHPLC</w:t>
      </w:r>
      <w:proofErr w:type="spellEnd"/>
      <w:r w:rsidR="00E141DC">
        <w:rPr>
          <w:rFonts w:ascii="Arial" w:hAnsi="Arial" w:cs="Arial"/>
          <w:sz w:val="20"/>
          <w:szCs w:val="20"/>
        </w:rPr>
        <w:t xml:space="preserve">).  </w:t>
      </w:r>
      <w:proofErr w:type="spellStart"/>
      <w:r w:rsidR="00E141DC">
        <w:rPr>
          <w:rFonts w:ascii="Arial" w:hAnsi="Arial" w:cs="Arial"/>
          <w:sz w:val="20"/>
          <w:szCs w:val="20"/>
        </w:rPr>
        <w:t>Sueoka</w:t>
      </w:r>
      <w:proofErr w:type="spellEnd"/>
      <w:r w:rsidR="00E141DC">
        <w:rPr>
          <w:rFonts w:ascii="Arial" w:hAnsi="Arial" w:cs="Arial"/>
          <w:sz w:val="20"/>
          <w:szCs w:val="20"/>
        </w:rPr>
        <w:t xml:space="preserve"> et al. [1</w:t>
      </w:r>
      <w:r w:rsidR="005A3470">
        <w:rPr>
          <w:rFonts w:ascii="Arial" w:hAnsi="Arial" w:cs="Arial"/>
          <w:sz w:val="20"/>
          <w:szCs w:val="20"/>
        </w:rPr>
        <w:t>4</w:t>
      </w:r>
      <w:r w:rsidR="00A80BD4" w:rsidRPr="004B2EBB">
        <w:rPr>
          <w:rFonts w:ascii="Arial" w:hAnsi="Arial" w:cs="Arial"/>
          <w:sz w:val="20"/>
          <w:szCs w:val="20"/>
        </w:rPr>
        <w:t xml:space="preserve">] determined that using </w:t>
      </w:r>
      <w:proofErr w:type="spellStart"/>
      <w:r w:rsidR="00A80BD4" w:rsidRPr="004B2EBB">
        <w:rPr>
          <w:rFonts w:ascii="Arial" w:hAnsi="Arial" w:cs="Arial"/>
          <w:sz w:val="20"/>
          <w:szCs w:val="20"/>
        </w:rPr>
        <w:t>dHPLC</w:t>
      </w:r>
      <w:proofErr w:type="spellEnd"/>
      <w:r w:rsidR="00A80BD4" w:rsidRPr="004B2EBB">
        <w:rPr>
          <w:rFonts w:ascii="Arial" w:hAnsi="Arial" w:cs="Arial"/>
          <w:sz w:val="20"/>
          <w:szCs w:val="20"/>
        </w:rPr>
        <w:t xml:space="preserve"> for analysis was faster (five hours for </w:t>
      </w:r>
      <w:proofErr w:type="spellStart"/>
      <w:r w:rsidR="00A80BD4" w:rsidRPr="004B2EBB">
        <w:rPr>
          <w:rFonts w:ascii="Arial" w:hAnsi="Arial" w:cs="Arial"/>
          <w:sz w:val="20"/>
          <w:szCs w:val="20"/>
        </w:rPr>
        <w:t>dHPLC</w:t>
      </w:r>
      <w:proofErr w:type="spellEnd"/>
      <w:r w:rsidR="00A80BD4" w:rsidRPr="004B2EBB">
        <w:rPr>
          <w:rFonts w:ascii="Arial" w:hAnsi="Arial" w:cs="Arial"/>
          <w:sz w:val="20"/>
          <w:szCs w:val="20"/>
        </w:rPr>
        <w:t xml:space="preserve"> versus eighteen hours for direct sequencing) and cheaper (direct sequencing was eight times more expensive).  In addition, </w:t>
      </w:r>
      <w:proofErr w:type="spellStart"/>
      <w:r w:rsidR="00A80BD4" w:rsidRPr="004B2EBB">
        <w:rPr>
          <w:rFonts w:ascii="Arial" w:hAnsi="Arial" w:cs="Arial"/>
          <w:sz w:val="20"/>
          <w:szCs w:val="20"/>
        </w:rPr>
        <w:t>dHPLC</w:t>
      </w:r>
      <w:proofErr w:type="spellEnd"/>
      <w:r w:rsidR="00A80BD4" w:rsidRPr="004B2EBB">
        <w:rPr>
          <w:rFonts w:ascii="Arial" w:hAnsi="Arial" w:cs="Arial"/>
          <w:sz w:val="20"/>
          <w:szCs w:val="20"/>
        </w:rPr>
        <w:t xml:space="preserve"> provided more accurate results than direct sequencing.</w:t>
      </w:r>
      <w:r w:rsidR="009A37DB" w:rsidRPr="004B2EBB">
        <w:rPr>
          <w:rFonts w:ascii="Arial" w:hAnsi="Arial" w:cs="Arial"/>
          <w:sz w:val="20"/>
          <w:szCs w:val="20"/>
        </w:rPr>
        <w:t xml:space="preserve">  Currently, HPLC (though not </w:t>
      </w:r>
      <w:proofErr w:type="spellStart"/>
      <w:r w:rsidR="009A37DB" w:rsidRPr="004B2EBB">
        <w:rPr>
          <w:rFonts w:ascii="Arial" w:hAnsi="Arial" w:cs="Arial"/>
          <w:sz w:val="20"/>
          <w:szCs w:val="20"/>
        </w:rPr>
        <w:t>dHPLC</w:t>
      </w:r>
      <w:proofErr w:type="spellEnd"/>
      <w:r w:rsidR="009A37DB" w:rsidRPr="004B2EBB">
        <w:rPr>
          <w:rFonts w:ascii="Arial" w:hAnsi="Arial" w:cs="Arial"/>
          <w:sz w:val="20"/>
          <w:szCs w:val="20"/>
        </w:rPr>
        <w:t>) has shown promise as an analysis method that can be miniaturize</w:t>
      </w:r>
      <w:r w:rsidR="00E141DC">
        <w:rPr>
          <w:rFonts w:ascii="Arial" w:hAnsi="Arial" w:cs="Arial"/>
          <w:sz w:val="20"/>
          <w:szCs w:val="20"/>
        </w:rPr>
        <w:t>d</w:t>
      </w:r>
      <w:r w:rsidR="005A3470">
        <w:rPr>
          <w:rFonts w:ascii="Arial" w:hAnsi="Arial" w:cs="Arial"/>
          <w:sz w:val="20"/>
          <w:szCs w:val="20"/>
        </w:rPr>
        <w:t xml:space="preserve"> onto a microfluidics device [15</w:t>
      </w:r>
      <w:r w:rsidR="009A37DB" w:rsidRPr="004B2EBB">
        <w:rPr>
          <w:rFonts w:ascii="Arial" w:hAnsi="Arial" w:cs="Arial"/>
          <w:sz w:val="20"/>
          <w:szCs w:val="20"/>
        </w:rPr>
        <w:t xml:space="preserve">]. Other screening methods for the EGFR mutation include massively parallel sequencing analysis (or </w:t>
      </w:r>
      <w:r w:rsidR="00E141DC">
        <w:rPr>
          <w:rFonts w:ascii="Arial" w:hAnsi="Arial" w:cs="Arial"/>
          <w:sz w:val="20"/>
          <w:szCs w:val="20"/>
        </w:rPr>
        <w:t>s</w:t>
      </w:r>
      <w:r w:rsidR="005A3470">
        <w:rPr>
          <w:rFonts w:ascii="Arial" w:hAnsi="Arial" w:cs="Arial"/>
          <w:sz w:val="20"/>
          <w:szCs w:val="20"/>
        </w:rPr>
        <w:t>econd generation sequencing) [16</w:t>
      </w:r>
      <w:r w:rsidR="00E141DC">
        <w:rPr>
          <w:rFonts w:ascii="Arial" w:hAnsi="Arial" w:cs="Arial"/>
          <w:sz w:val="20"/>
          <w:szCs w:val="20"/>
        </w:rPr>
        <w:t>] and high re</w:t>
      </w:r>
      <w:r w:rsidR="005A3470">
        <w:rPr>
          <w:rFonts w:ascii="Arial" w:hAnsi="Arial" w:cs="Arial"/>
          <w:sz w:val="20"/>
          <w:szCs w:val="20"/>
        </w:rPr>
        <w:t>solution melting [17</w:t>
      </w:r>
      <w:r w:rsidR="009A37DB" w:rsidRPr="004B2EBB">
        <w:rPr>
          <w:rFonts w:ascii="Arial" w:hAnsi="Arial" w:cs="Arial"/>
          <w:sz w:val="20"/>
          <w:szCs w:val="20"/>
        </w:rPr>
        <w:t>].  However, all of these analysis methods require amplification of the genetic material, a time-consuming process, and the latter two methods have yet to be studied for miniaturization onto microfluidics devices.</w:t>
      </w:r>
      <w:r w:rsidR="00625FCC" w:rsidRPr="004B2EBB">
        <w:rPr>
          <w:rFonts w:ascii="Arial" w:hAnsi="Arial" w:cs="Arial"/>
          <w:sz w:val="20"/>
          <w:szCs w:val="20"/>
        </w:rPr>
        <w:t xml:space="preserve">  In addition, the need for an amplification step also requires that the sample already contains high amounts of mutation-bearing cells; these samples will have to come from invasive </w:t>
      </w:r>
      <w:r w:rsidR="00625FCC" w:rsidRPr="004B2EBB">
        <w:rPr>
          <w:rFonts w:ascii="Arial" w:hAnsi="Arial" w:cs="Arial"/>
          <w:sz w:val="20"/>
          <w:szCs w:val="20"/>
        </w:rPr>
        <w:lastRenderedPageBreak/>
        <w:t>biopsy procedures like those mentioned above.</w:t>
      </w:r>
      <w:r w:rsidR="00741520" w:rsidRPr="004B2EBB">
        <w:rPr>
          <w:rFonts w:ascii="Arial" w:hAnsi="Arial" w:cs="Arial"/>
          <w:sz w:val="20"/>
          <w:szCs w:val="20"/>
        </w:rPr>
        <w:t xml:space="preserve">  Another, though much less commonly used, method for EGFR detection is the use of immunochemistry to bind directly to the</w:t>
      </w:r>
      <w:r w:rsidR="00E141DC">
        <w:rPr>
          <w:rFonts w:ascii="Arial" w:hAnsi="Arial" w:cs="Arial"/>
          <w:sz w:val="20"/>
          <w:szCs w:val="20"/>
        </w:rPr>
        <w:t xml:space="preserve"> </w:t>
      </w:r>
      <w:r w:rsidR="005A3470">
        <w:rPr>
          <w:rFonts w:ascii="Arial" w:hAnsi="Arial" w:cs="Arial"/>
          <w:sz w:val="20"/>
          <w:szCs w:val="20"/>
        </w:rPr>
        <w:t>mutated receptors themselves [18</w:t>
      </w:r>
      <w:r w:rsidR="00741520" w:rsidRPr="004B2EBB">
        <w:rPr>
          <w:rFonts w:ascii="Arial" w:hAnsi="Arial" w:cs="Arial"/>
          <w:sz w:val="20"/>
          <w:szCs w:val="20"/>
        </w:rPr>
        <w:t>]</w:t>
      </w:r>
      <w:r w:rsidR="00D54BB4" w:rsidRPr="004B2EBB">
        <w:rPr>
          <w:rFonts w:ascii="Arial" w:hAnsi="Arial" w:cs="Arial"/>
          <w:sz w:val="20"/>
          <w:szCs w:val="20"/>
        </w:rPr>
        <w:t xml:space="preserve">.  </w:t>
      </w:r>
      <w:r w:rsidR="00D26353">
        <w:rPr>
          <w:rFonts w:ascii="Arial" w:hAnsi="Arial" w:cs="Arial"/>
          <w:sz w:val="20"/>
          <w:szCs w:val="20"/>
        </w:rPr>
        <w:t>However,</w:t>
      </w:r>
      <w:r w:rsidR="00BE6562">
        <w:rPr>
          <w:rFonts w:ascii="Arial" w:hAnsi="Arial" w:cs="Arial"/>
          <w:sz w:val="20"/>
          <w:szCs w:val="20"/>
        </w:rPr>
        <w:t xml:space="preserve"> specific recombinant antibodies</w:t>
      </w:r>
      <w:r w:rsidR="00D26353">
        <w:rPr>
          <w:rFonts w:ascii="Arial" w:hAnsi="Arial" w:cs="Arial"/>
          <w:sz w:val="20"/>
          <w:szCs w:val="20"/>
        </w:rPr>
        <w:t xml:space="preserve"> are needed to prevent non-specific binding with wild-type E</w:t>
      </w:r>
      <w:r w:rsidR="00135DA9">
        <w:rPr>
          <w:rFonts w:ascii="Arial" w:hAnsi="Arial" w:cs="Arial"/>
          <w:sz w:val="20"/>
          <w:szCs w:val="20"/>
        </w:rPr>
        <w:t>GF</w:t>
      </w:r>
      <w:r w:rsidR="00E141DC">
        <w:rPr>
          <w:rFonts w:ascii="Arial" w:hAnsi="Arial" w:cs="Arial"/>
          <w:sz w:val="20"/>
          <w:szCs w:val="20"/>
        </w:rPr>
        <w:t xml:space="preserve"> </w:t>
      </w:r>
      <w:r w:rsidR="005A3470">
        <w:rPr>
          <w:rFonts w:ascii="Arial" w:hAnsi="Arial" w:cs="Arial"/>
          <w:sz w:val="20"/>
          <w:szCs w:val="20"/>
        </w:rPr>
        <w:t>receptors and other proteins [19</w:t>
      </w:r>
      <w:r w:rsidR="00135DA9">
        <w:rPr>
          <w:rFonts w:ascii="Arial" w:hAnsi="Arial" w:cs="Arial"/>
          <w:sz w:val="20"/>
          <w:szCs w:val="20"/>
        </w:rPr>
        <w:t>].</w:t>
      </w:r>
    </w:p>
    <w:p w:rsidR="00625FCC" w:rsidRPr="004B2EBB" w:rsidRDefault="00625FCC" w:rsidP="00231EAA">
      <w:pPr>
        <w:spacing w:after="0" w:line="480" w:lineRule="auto"/>
        <w:rPr>
          <w:rFonts w:ascii="Arial" w:hAnsi="Arial" w:cs="Arial"/>
          <w:sz w:val="20"/>
          <w:szCs w:val="20"/>
        </w:rPr>
      </w:pPr>
      <w:r w:rsidRPr="004B2EBB">
        <w:rPr>
          <w:rFonts w:ascii="Arial" w:hAnsi="Arial" w:cs="Arial"/>
          <w:sz w:val="20"/>
          <w:szCs w:val="20"/>
        </w:rPr>
        <w:tab/>
        <w:t>The goals of the device presented here are</w:t>
      </w:r>
      <w:r w:rsidR="008F29A5" w:rsidRPr="004B2EBB">
        <w:rPr>
          <w:rFonts w:ascii="Arial" w:hAnsi="Arial" w:cs="Arial"/>
          <w:sz w:val="20"/>
          <w:szCs w:val="20"/>
        </w:rPr>
        <w:t xml:space="preserve"> to create a fast, reliable,</w:t>
      </w:r>
      <w:r w:rsidR="00650883" w:rsidRPr="004B2EBB">
        <w:rPr>
          <w:rFonts w:ascii="Arial" w:hAnsi="Arial" w:cs="Arial"/>
          <w:sz w:val="20"/>
          <w:szCs w:val="20"/>
        </w:rPr>
        <w:t xml:space="preserve"> inexpensive,</w:t>
      </w:r>
      <w:r w:rsidR="008F29A5" w:rsidRPr="004B2EBB">
        <w:rPr>
          <w:rFonts w:ascii="Arial" w:hAnsi="Arial" w:cs="Arial"/>
          <w:sz w:val="20"/>
          <w:szCs w:val="20"/>
        </w:rPr>
        <w:t xml:space="preserve"> and non-invasive method to screen at-risk individuals with lung cancer.</w:t>
      </w:r>
      <w:r w:rsidR="00650883" w:rsidRPr="004B2EBB">
        <w:rPr>
          <w:rFonts w:ascii="Arial" w:hAnsi="Arial" w:cs="Arial"/>
          <w:sz w:val="20"/>
          <w:szCs w:val="20"/>
        </w:rPr>
        <w:t xml:space="preserve">  Since the device is miniaturized onto a microfluidics device, analysis time</w:t>
      </w:r>
      <w:r w:rsidR="00AE1EFA" w:rsidRPr="004B2EBB">
        <w:rPr>
          <w:rFonts w:ascii="Arial" w:hAnsi="Arial" w:cs="Arial"/>
          <w:sz w:val="20"/>
          <w:szCs w:val="20"/>
        </w:rPr>
        <w:t>, reagent cost, and required sample volume will be much less compared to current sequencing technologies.</w:t>
      </w:r>
      <w:r w:rsidR="00832E5D" w:rsidRPr="004B2EBB">
        <w:rPr>
          <w:rFonts w:ascii="Arial" w:hAnsi="Arial" w:cs="Arial"/>
          <w:sz w:val="20"/>
          <w:szCs w:val="20"/>
        </w:rPr>
        <w:t xml:space="preserve">  Since the device will require only a non-invasive sputum sample, it can be used feasibly on </w:t>
      </w:r>
      <w:r w:rsidR="00906C63" w:rsidRPr="004B2EBB">
        <w:rPr>
          <w:rFonts w:ascii="Arial" w:hAnsi="Arial" w:cs="Arial"/>
          <w:sz w:val="20"/>
          <w:szCs w:val="20"/>
        </w:rPr>
        <w:t>at-risk populations instead of those already presenting symptoms of lung cancer.</w:t>
      </w:r>
      <w:r w:rsidR="00506CE6">
        <w:rPr>
          <w:rFonts w:ascii="Arial" w:hAnsi="Arial" w:cs="Arial"/>
          <w:sz w:val="20"/>
          <w:szCs w:val="20"/>
        </w:rPr>
        <w:t xml:space="preserve">  In addition, the device will be able to detect EGFR mutations commonly present in non-smoking individuals. </w:t>
      </w:r>
    </w:p>
    <w:p w:rsidR="008132EE" w:rsidRDefault="008132EE" w:rsidP="00231EAA">
      <w:pPr>
        <w:spacing w:after="0" w:line="480" w:lineRule="auto"/>
        <w:rPr>
          <w:rFonts w:ascii="Arial" w:hAnsi="Arial" w:cs="Arial"/>
          <w:i/>
          <w:sz w:val="20"/>
          <w:szCs w:val="20"/>
        </w:rPr>
      </w:pPr>
    </w:p>
    <w:p w:rsidR="00CF6BC7" w:rsidRDefault="00CF6BC7" w:rsidP="00231EAA">
      <w:pPr>
        <w:spacing w:after="0" w:line="480" w:lineRule="auto"/>
        <w:rPr>
          <w:rFonts w:ascii="Arial" w:hAnsi="Arial" w:cs="Arial"/>
          <w:sz w:val="20"/>
          <w:szCs w:val="20"/>
        </w:rPr>
      </w:pPr>
      <w:r>
        <w:rPr>
          <w:rFonts w:ascii="Arial" w:hAnsi="Arial" w:cs="Arial"/>
          <w:i/>
          <w:sz w:val="20"/>
          <w:szCs w:val="20"/>
        </w:rPr>
        <w:t>Benefits of using a microfluidics device</w:t>
      </w:r>
    </w:p>
    <w:p w:rsidR="00CF6BC7" w:rsidRDefault="00CF6BC7" w:rsidP="00231EAA">
      <w:pPr>
        <w:spacing w:after="0" w:line="480" w:lineRule="auto"/>
        <w:rPr>
          <w:rFonts w:ascii="Arial" w:hAnsi="Arial" w:cs="Arial"/>
          <w:sz w:val="20"/>
          <w:szCs w:val="20"/>
        </w:rPr>
      </w:pPr>
      <w:r>
        <w:rPr>
          <w:rFonts w:ascii="Arial" w:hAnsi="Arial" w:cs="Arial"/>
          <w:sz w:val="20"/>
          <w:szCs w:val="20"/>
        </w:rPr>
        <w:tab/>
        <w:t>Microfluidic devices, and specifically lab-on-a-chip devices</w:t>
      </w:r>
      <w:r w:rsidR="00513710">
        <w:rPr>
          <w:rFonts w:ascii="Arial" w:hAnsi="Arial" w:cs="Arial"/>
          <w:sz w:val="20"/>
          <w:szCs w:val="20"/>
        </w:rPr>
        <w:t xml:space="preserve"> like the one proposed here</w:t>
      </w:r>
      <w:r>
        <w:rPr>
          <w:rFonts w:ascii="Arial" w:hAnsi="Arial" w:cs="Arial"/>
          <w:sz w:val="20"/>
          <w:szCs w:val="20"/>
        </w:rPr>
        <w:t xml:space="preserve">, incur several advantages over standard </w:t>
      </w:r>
      <w:proofErr w:type="spellStart"/>
      <w:r>
        <w:rPr>
          <w:rFonts w:ascii="Arial" w:hAnsi="Arial" w:cs="Arial"/>
          <w:sz w:val="20"/>
          <w:szCs w:val="20"/>
        </w:rPr>
        <w:t>macroscale</w:t>
      </w:r>
      <w:proofErr w:type="spellEnd"/>
      <w:r>
        <w:rPr>
          <w:rFonts w:ascii="Arial" w:hAnsi="Arial" w:cs="Arial"/>
          <w:sz w:val="20"/>
          <w:szCs w:val="20"/>
        </w:rPr>
        <w:t xml:space="preserve"> </w:t>
      </w:r>
      <w:proofErr w:type="spellStart"/>
      <w:r>
        <w:rPr>
          <w:rFonts w:ascii="Arial" w:hAnsi="Arial" w:cs="Arial"/>
          <w:sz w:val="20"/>
          <w:szCs w:val="20"/>
        </w:rPr>
        <w:t>benchtop</w:t>
      </w:r>
      <w:proofErr w:type="spellEnd"/>
      <w:r>
        <w:rPr>
          <w:rFonts w:ascii="Arial" w:hAnsi="Arial" w:cs="Arial"/>
          <w:sz w:val="20"/>
          <w:szCs w:val="20"/>
        </w:rPr>
        <w:t xml:space="preserve"> proc</w:t>
      </w:r>
      <w:r w:rsidR="00E94691">
        <w:rPr>
          <w:rFonts w:ascii="Arial" w:hAnsi="Arial" w:cs="Arial"/>
          <w:sz w:val="20"/>
          <w:szCs w:val="20"/>
        </w:rPr>
        <w:t>edures simply due to their size [</w:t>
      </w:r>
      <w:r w:rsidR="005A3470">
        <w:rPr>
          <w:rFonts w:ascii="Arial" w:hAnsi="Arial" w:cs="Arial"/>
          <w:sz w:val="20"/>
          <w:szCs w:val="20"/>
        </w:rPr>
        <w:t>20</w:t>
      </w:r>
      <w:r w:rsidR="00E94691">
        <w:rPr>
          <w:rFonts w:ascii="Arial" w:hAnsi="Arial" w:cs="Arial"/>
          <w:sz w:val="20"/>
          <w:szCs w:val="20"/>
        </w:rPr>
        <w:t>]</w:t>
      </w:r>
      <w:r w:rsidR="00E72A32">
        <w:rPr>
          <w:rFonts w:ascii="Arial" w:hAnsi="Arial" w:cs="Arial"/>
          <w:sz w:val="20"/>
          <w:szCs w:val="20"/>
        </w:rPr>
        <w:t>.  The most often cited benefit is that smaller sample sizes are needed.  Microfluidic analysis is usually inexpensive because the amount of possibly expensive reagents used is drastically reduced.</w:t>
      </w:r>
      <w:r w:rsidR="00210AA6">
        <w:rPr>
          <w:rFonts w:ascii="Arial" w:hAnsi="Arial" w:cs="Arial"/>
          <w:sz w:val="20"/>
          <w:szCs w:val="20"/>
        </w:rPr>
        <w:t xml:space="preserve">  In the realm of clinical diagnostics, this translates to a reduction in sample size.  This allows for less invasive procedures, like sputum procurement, </w:t>
      </w:r>
      <w:r w:rsidR="00067457">
        <w:rPr>
          <w:rFonts w:ascii="Arial" w:hAnsi="Arial" w:cs="Arial"/>
          <w:sz w:val="20"/>
          <w:szCs w:val="20"/>
        </w:rPr>
        <w:t>to be used diagnostically instead of surgical biopsy.</w:t>
      </w:r>
    </w:p>
    <w:p w:rsidR="00513710" w:rsidRDefault="00513710" w:rsidP="00231EAA">
      <w:pPr>
        <w:spacing w:after="0" w:line="480" w:lineRule="auto"/>
        <w:rPr>
          <w:rFonts w:ascii="Arial" w:hAnsi="Arial" w:cs="Arial"/>
          <w:sz w:val="20"/>
          <w:szCs w:val="20"/>
        </w:rPr>
      </w:pPr>
      <w:r>
        <w:rPr>
          <w:rFonts w:ascii="Arial" w:hAnsi="Arial" w:cs="Arial"/>
          <w:sz w:val="20"/>
          <w:szCs w:val="20"/>
        </w:rPr>
        <w:tab/>
        <w:t>Because volumes are so small, diffusion is often the major drive for mixing samples.  This decreases the amount of time required</w:t>
      </w:r>
      <w:r w:rsidR="006D2871">
        <w:rPr>
          <w:rFonts w:ascii="Arial" w:hAnsi="Arial" w:cs="Arial"/>
          <w:sz w:val="20"/>
          <w:szCs w:val="20"/>
        </w:rPr>
        <w:t xml:space="preserve"> for reactions or other processes to take place.</w:t>
      </w:r>
      <w:r w:rsidR="00DF4C31">
        <w:rPr>
          <w:rFonts w:ascii="Arial" w:hAnsi="Arial" w:cs="Arial"/>
          <w:sz w:val="20"/>
          <w:szCs w:val="20"/>
        </w:rPr>
        <w:t xml:space="preserve">  With smaller volumes and shorter data collection times, assays are more sensitive and results are more accurate.</w:t>
      </w:r>
    </w:p>
    <w:p w:rsidR="0066251E" w:rsidRDefault="0066251E" w:rsidP="00231EAA">
      <w:pPr>
        <w:spacing w:after="0" w:line="480" w:lineRule="auto"/>
        <w:rPr>
          <w:rFonts w:ascii="Arial" w:hAnsi="Arial" w:cs="Arial"/>
          <w:sz w:val="20"/>
          <w:szCs w:val="20"/>
        </w:rPr>
      </w:pPr>
    </w:p>
    <w:p w:rsidR="00BE6562" w:rsidRPr="00BE6562" w:rsidRDefault="00BE6562" w:rsidP="00231EAA">
      <w:pPr>
        <w:spacing w:after="0" w:line="480" w:lineRule="auto"/>
        <w:rPr>
          <w:rFonts w:ascii="Arial" w:hAnsi="Arial" w:cs="Arial"/>
          <w:sz w:val="20"/>
          <w:szCs w:val="20"/>
        </w:rPr>
      </w:pPr>
      <w:r>
        <w:rPr>
          <w:rFonts w:ascii="Arial" w:hAnsi="Arial" w:cs="Arial"/>
          <w:b/>
          <w:sz w:val="20"/>
          <w:szCs w:val="20"/>
        </w:rPr>
        <w:t>METHODS</w:t>
      </w:r>
    </w:p>
    <w:p w:rsidR="0066251E" w:rsidRPr="00CF6BC7" w:rsidRDefault="0066251E" w:rsidP="00BE6562">
      <w:pPr>
        <w:spacing w:after="0" w:line="480" w:lineRule="auto"/>
        <w:ind w:firstLine="720"/>
        <w:rPr>
          <w:rFonts w:ascii="Arial" w:hAnsi="Arial" w:cs="Arial"/>
          <w:sz w:val="20"/>
          <w:szCs w:val="20"/>
        </w:rPr>
      </w:pPr>
      <w:r>
        <w:rPr>
          <w:rFonts w:ascii="Arial" w:hAnsi="Arial" w:cs="Arial"/>
          <w:sz w:val="20"/>
          <w:szCs w:val="20"/>
        </w:rPr>
        <w:t>The methods used by the device for detection of a mutated mRNA sequence for EGFR are presented below.  The main focus is on detection of the mutated mRNA; mRNA is used instead of the original mutated DNA as it demonstrates active translation of the affected receptor by the cell.</w:t>
      </w:r>
      <w:r w:rsidR="00E251AA">
        <w:rPr>
          <w:rFonts w:ascii="Arial" w:hAnsi="Arial" w:cs="Arial"/>
          <w:sz w:val="20"/>
          <w:szCs w:val="20"/>
        </w:rPr>
        <w:t xml:space="preserve">  After the sample of bronchial endothelial cells in PBS is introduced into the device, the cells undergo </w:t>
      </w:r>
      <w:r w:rsidR="00E251AA">
        <w:rPr>
          <w:rFonts w:ascii="Arial" w:hAnsi="Arial" w:cs="Arial"/>
          <w:sz w:val="20"/>
          <w:szCs w:val="20"/>
        </w:rPr>
        <w:lastRenderedPageBreak/>
        <w:t xml:space="preserve">electrochemical lysis.  The mRNA contained in the cells is then purified using a silica bead </w:t>
      </w:r>
      <w:proofErr w:type="spellStart"/>
      <w:r w:rsidR="00E251AA">
        <w:rPr>
          <w:rFonts w:ascii="Arial" w:hAnsi="Arial" w:cs="Arial"/>
          <w:sz w:val="20"/>
          <w:szCs w:val="20"/>
        </w:rPr>
        <w:t>microcolumn</w:t>
      </w:r>
      <w:proofErr w:type="spellEnd"/>
      <w:r w:rsidR="00E251AA">
        <w:rPr>
          <w:rFonts w:ascii="Arial" w:hAnsi="Arial" w:cs="Arial"/>
          <w:sz w:val="20"/>
          <w:szCs w:val="20"/>
        </w:rPr>
        <w:t>.  The target mutated mRNA in the elution are then hybr</w:t>
      </w:r>
      <w:r w:rsidR="00C52BF9">
        <w:rPr>
          <w:rFonts w:ascii="Arial" w:hAnsi="Arial" w:cs="Arial"/>
          <w:sz w:val="20"/>
          <w:szCs w:val="20"/>
        </w:rPr>
        <w:t xml:space="preserve">idized with complementary </w:t>
      </w:r>
      <w:proofErr w:type="spellStart"/>
      <w:r w:rsidR="00C52BF9">
        <w:rPr>
          <w:rFonts w:ascii="Arial" w:hAnsi="Arial" w:cs="Arial"/>
          <w:sz w:val="20"/>
          <w:szCs w:val="20"/>
        </w:rPr>
        <w:t>ssDNA</w:t>
      </w:r>
      <w:proofErr w:type="spellEnd"/>
      <w:r w:rsidR="00C52BF9">
        <w:rPr>
          <w:rFonts w:ascii="Arial" w:hAnsi="Arial" w:cs="Arial"/>
          <w:sz w:val="20"/>
          <w:szCs w:val="20"/>
        </w:rPr>
        <w:t xml:space="preserve"> (single-stranded DNA), creating </w:t>
      </w:r>
      <w:proofErr w:type="spellStart"/>
      <w:r w:rsidR="00C52BF9">
        <w:rPr>
          <w:rFonts w:ascii="Arial" w:hAnsi="Arial" w:cs="Arial"/>
          <w:sz w:val="20"/>
          <w:szCs w:val="20"/>
        </w:rPr>
        <w:t>dsDNA</w:t>
      </w:r>
      <w:proofErr w:type="spellEnd"/>
      <w:r w:rsidR="00C52BF9">
        <w:rPr>
          <w:rFonts w:ascii="Arial" w:hAnsi="Arial" w:cs="Arial"/>
          <w:sz w:val="20"/>
          <w:szCs w:val="20"/>
        </w:rPr>
        <w:t xml:space="preserve"> (double-stranded DNA).</w:t>
      </w:r>
      <w:r w:rsidR="000F038E">
        <w:rPr>
          <w:rFonts w:ascii="Arial" w:hAnsi="Arial" w:cs="Arial"/>
          <w:sz w:val="20"/>
          <w:szCs w:val="20"/>
        </w:rPr>
        <w:t xml:space="preserve">  The presence of either </w:t>
      </w:r>
      <w:proofErr w:type="spellStart"/>
      <w:r w:rsidR="000F038E">
        <w:rPr>
          <w:rFonts w:ascii="Arial" w:hAnsi="Arial" w:cs="Arial"/>
          <w:sz w:val="20"/>
          <w:szCs w:val="20"/>
        </w:rPr>
        <w:t>unhybridized</w:t>
      </w:r>
      <w:proofErr w:type="spellEnd"/>
      <w:r w:rsidR="000F038E">
        <w:rPr>
          <w:rFonts w:ascii="Arial" w:hAnsi="Arial" w:cs="Arial"/>
          <w:sz w:val="20"/>
          <w:szCs w:val="20"/>
        </w:rPr>
        <w:t xml:space="preserve"> </w:t>
      </w:r>
      <w:proofErr w:type="spellStart"/>
      <w:r w:rsidR="000F038E">
        <w:rPr>
          <w:rFonts w:ascii="Arial" w:hAnsi="Arial" w:cs="Arial"/>
          <w:sz w:val="20"/>
          <w:szCs w:val="20"/>
        </w:rPr>
        <w:t>ssDNA</w:t>
      </w:r>
      <w:proofErr w:type="spellEnd"/>
      <w:r w:rsidR="000F038E">
        <w:rPr>
          <w:rFonts w:ascii="Arial" w:hAnsi="Arial" w:cs="Arial"/>
          <w:sz w:val="20"/>
          <w:szCs w:val="20"/>
        </w:rPr>
        <w:t xml:space="preserve"> or hybridized </w:t>
      </w:r>
      <w:proofErr w:type="spellStart"/>
      <w:r w:rsidR="000F038E">
        <w:rPr>
          <w:rFonts w:ascii="Arial" w:hAnsi="Arial" w:cs="Arial"/>
          <w:sz w:val="20"/>
          <w:szCs w:val="20"/>
        </w:rPr>
        <w:t>dsDNA</w:t>
      </w:r>
      <w:proofErr w:type="spellEnd"/>
      <w:r w:rsidR="000F038E">
        <w:rPr>
          <w:rFonts w:ascii="Arial" w:hAnsi="Arial" w:cs="Arial"/>
          <w:sz w:val="20"/>
          <w:szCs w:val="20"/>
        </w:rPr>
        <w:t xml:space="preserve"> changes the color of a colloidal gold nanoparticle solution, based on electrostatic interactions.  A blue color, which can be determined visibly, represents the presence of the mutation while a pink color is represents a negative result. </w:t>
      </w:r>
    </w:p>
    <w:p w:rsidR="00CF6BC7" w:rsidRPr="004B2EBB" w:rsidRDefault="00CF6BC7" w:rsidP="00231EAA">
      <w:pPr>
        <w:spacing w:after="0" w:line="480" w:lineRule="auto"/>
        <w:rPr>
          <w:rFonts w:ascii="Arial" w:hAnsi="Arial" w:cs="Arial"/>
          <w:i/>
          <w:sz w:val="20"/>
          <w:szCs w:val="20"/>
        </w:rPr>
      </w:pPr>
    </w:p>
    <w:p w:rsidR="006B40C2" w:rsidRPr="004B2EBB" w:rsidRDefault="006B40C2" w:rsidP="00231EAA">
      <w:pPr>
        <w:spacing w:after="0" w:line="480" w:lineRule="auto"/>
        <w:rPr>
          <w:rFonts w:ascii="Arial" w:hAnsi="Arial" w:cs="Arial"/>
          <w:sz w:val="20"/>
          <w:szCs w:val="20"/>
        </w:rPr>
      </w:pPr>
      <w:r w:rsidRPr="004B2EBB">
        <w:rPr>
          <w:rFonts w:ascii="Arial" w:hAnsi="Arial" w:cs="Arial"/>
          <w:i/>
          <w:sz w:val="20"/>
          <w:szCs w:val="20"/>
        </w:rPr>
        <w:t>Electrochemical Cell Lysis</w:t>
      </w:r>
    </w:p>
    <w:p w:rsidR="00E50069" w:rsidRDefault="005A3470" w:rsidP="00231EAA">
      <w:pPr>
        <w:spacing w:after="0" w:line="480" w:lineRule="auto"/>
        <w:rPr>
          <w:rFonts w:ascii="Arial" w:hAnsi="Arial" w:cs="Arial"/>
          <w:sz w:val="20"/>
          <w:szCs w:val="20"/>
        </w:rPr>
      </w:pPr>
      <w:r>
        <w:rPr>
          <w:rFonts w:ascii="Arial" w:hAnsi="Arial" w:cs="Arial"/>
          <w:sz w:val="20"/>
          <w:szCs w:val="20"/>
        </w:rPr>
        <w:tab/>
        <w:t>Di Carlo et al. [21</w:t>
      </w:r>
      <w:r w:rsidR="006B40C2" w:rsidRPr="004B2EBB">
        <w:rPr>
          <w:rFonts w:ascii="Arial" w:hAnsi="Arial" w:cs="Arial"/>
          <w:sz w:val="20"/>
          <w:szCs w:val="20"/>
        </w:rPr>
        <w:t>]</w:t>
      </w:r>
      <w:r w:rsidR="00BB01A4" w:rsidRPr="004B2EBB">
        <w:rPr>
          <w:rFonts w:ascii="Arial" w:hAnsi="Arial" w:cs="Arial"/>
          <w:sz w:val="20"/>
          <w:szCs w:val="20"/>
        </w:rPr>
        <w:t xml:space="preserve"> have designed a novel reagent-free cell lysis microfluidics device.  The device uses tiny platinum electrodes to generate </w:t>
      </w:r>
      <w:r w:rsidR="00BB01A4" w:rsidRPr="004B2EBB">
        <w:rPr>
          <w:rFonts w:ascii="Arial" w:hAnsi="Arial" w:cs="Arial"/>
          <w:sz w:val="20"/>
          <w:szCs w:val="20"/>
          <w:vertAlign w:val="superscript"/>
        </w:rPr>
        <w:t>–</w:t>
      </w:r>
      <w:r w:rsidR="00BB01A4" w:rsidRPr="004B2EBB">
        <w:rPr>
          <w:rFonts w:ascii="Arial" w:hAnsi="Arial" w:cs="Arial"/>
          <w:sz w:val="20"/>
          <w:szCs w:val="20"/>
        </w:rPr>
        <w:t>OH and H</w:t>
      </w:r>
      <w:r w:rsidR="00BB01A4" w:rsidRPr="004B2EBB">
        <w:rPr>
          <w:rFonts w:ascii="Arial" w:hAnsi="Arial" w:cs="Arial"/>
          <w:sz w:val="20"/>
          <w:szCs w:val="20"/>
          <w:vertAlign w:val="superscript"/>
        </w:rPr>
        <w:t>+</w:t>
      </w:r>
      <w:r w:rsidR="00BB01A4" w:rsidRPr="004B2EBB">
        <w:rPr>
          <w:rFonts w:ascii="Arial" w:hAnsi="Arial" w:cs="Arial"/>
          <w:sz w:val="20"/>
          <w:szCs w:val="20"/>
        </w:rPr>
        <w:t xml:space="preserve"> ions in solution.  </w:t>
      </w:r>
      <w:r w:rsidR="00170E59" w:rsidRPr="004B2EBB">
        <w:rPr>
          <w:rFonts w:ascii="Arial" w:hAnsi="Arial" w:cs="Arial"/>
          <w:sz w:val="20"/>
          <w:szCs w:val="20"/>
        </w:rPr>
        <w:t>The introduction of a high amount of hydroxide ions will destroy cell membranes</w:t>
      </w:r>
      <w:r w:rsidR="00AA2D8A" w:rsidRPr="004B2EBB">
        <w:rPr>
          <w:rFonts w:ascii="Arial" w:hAnsi="Arial" w:cs="Arial"/>
          <w:sz w:val="20"/>
          <w:szCs w:val="20"/>
        </w:rPr>
        <w:t xml:space="preserve"> (</w:t>
      </w:r>
      <w:r w:rsidR="00F60FAA">
        <w:rPr>
          <w:rFonts w:ascii="Arial" w:hAnsi="Arial" w:cs="Arial"/>
          <w:sz w:val="20"/>
          <w:szCs w:val="20"/>
        </w:rPr>
        <w:t>Figure 2</w:t>
      </w:r>
      <w:r w:rsidR="00AA2D8A" w:rsidRPr="004B2EBB">
        <w:rPr>
          <w:rFonts w:ascii="Arial" w:hAnsi="Arial" w:cs="Arial"/>
          <w:sz w:val="20"/>
          <w:szCs w:val="20"/>
        </w:rPr>
        <w:t>)</w:t>
      </w:r>
      <w:r w:rsidR="00170E59" w:rsidRPr="004B2EBB">
        <w:rPr>
          <w:rFonts w:ascii="Arial" w:hAnsi="Arial" w:cs="Arial"/>
          <w:sz w:val="20"/>
          <w:szCs w:val="20"/>
        </w:rPr>
        <w:t xml:space="preserve">, allowing for the release of genetic material.  </w:t>
      </w:r>
      <w:r w:rsidR="00AA2D8A" w:rsidRPr="004B2EBB">
        <w:rPr>
          <w:rFonts w:ascii="Arial" w:hAnsi="Arial" w:cs="Arial"/>
          <w:sz w:val="20"/>
          <w:szCs w:val="20"/>
        </w:rPr>
        <w:t>A filter (</w:t>
      </w:r>
      <w:r w:rsidR="00F60FAA">
        <w:rPr>
          <w:rFonts w:ascii="Arial" w:hAnsi="Arial" w:cs="Arial"/>
          <w:sz w:val="20"/>
          <w:szCs w:val="20"/>
        </w:rPr>
        <w:t>Figure 3</w:t>
      </w:r>
      <w:r w:rsidR="00BB01A4" w:rsidRPr="004B2EBB">
        <w:rPr>
          <w:rFonts w:ascii="Arial" w:hAnsi="Arial" w:cs="Arial"/>
          <w:sz w:val="20"/>
          <w:szCs w:val="20"/>
        </w:rPr>
        <w:t>)</w:t>
      </w:r>
      <w:r w:rsidR="006A7123" w:rsidRPr="004B2EBB">
        <w:rPr>
          <w:rFonts w:ascii="Arial" w:hAnsi="Arial" w:cs="Arial"/>
          <w:sz w:val="20"/>
          <w:szCs w:val="20"/>
        </w:rPr>
        <w:t xml:space="preserve"> separates the cathode, which produces hydroxide ions, and the anode, which produces hydrogen ions.  The purpose of the filter is to keep the introduced cells in close proximity to the cathode until lysis occurs; as a result, the filter size must be less than 10 microns, as this is the approximate diameter </w:t>
      </w:r>
      <w:r w:rsidR="004E3D30">
        <w:rPr>
          <w:rFonts w:ascii="Arial" w:hAnsi="Arial" w:cs="Arial"/>
          <w:sz w:val="20"/>
          <w:szCs w:val="20"/>
        </w:rPr>
        <w:t>o</w:t>
      </w:r>
      <w:r>
        <w:rPr>
          <w:rFonts w:ascii="Arial" w:hAnsi="Arial" w:cs="Arial"/>
          <w:sz w:val="20"/>
          <w:szCs w:val="20"/>
        </w:rPr>
        <w:t>f bronchial epithelial cells [22</w:t>
      </w:r>
      <w:r w:rsidR="006A7123" w:rsidRPr="004B2EBB">
        <w:rPr>
          <w:rFonts w:ascii="Arial" w:hAnsi="Arial" w:cs="Arial"/>
          <w:sz w:val="20"/>
          <w:szCs w:val="20"/>
        </w:rPr>
        <w:t>].</w:t>
      </w:r>
      <w:r w:rsidR="006A51D2" w:rsidRPr="004B2EBB">
        <w:rPr>
          <w:rFonts w:ascii="Arial" w:hAnsi="Arial" w:cs="Arial"/>
          <w:sz w:val="20"/>
          <w:szCs w:val="20"/>
        </w:rPr>
        <w:t xml:space="preserve">  The </w:t>
      </w:r>
      <w:r w:rsidR="00E50069" w:rsidRPr="004B2EBB">
        <w:rPr>
          <w:rFonts w:ascii="Arial" w:hAnsi="Arial" w:cs="Arial"/>
          <w:sz w:val="20"/>
          <w:szCs w:val="20"/>
        </w:rPr>
        <w:t xml:space="preserve">hydroxide-containing </w:t>
      </w:r>
      <w:r w:rsidR="006A51D2" w:rsidRPr="004B2EBB">
        <w:rPr>
          <w:rFonts w:ascii="Arial" w:hAnsi="Arial" w:cs="Arial"/>
          <w:sz w:val="20"/>
          <w:szCs w:val="20"/>
        </w:rPr>
        <w:t>lysate will be free to move pass the filter and</w:t>
      </w:r>
      <w:r w:rsidR="00E50069" w:rsidRPr="004B2EBB">
        <w:rPr>
          <w:rFonts w:ascii="Arial" w:hAnsi="Arial" w:cs="Arial"/>
          <w:sz w:val="20"/>
          <w:szCs w:val="20"/>
        </w:rPr>
        <w:t xml:space="preserve"> combine with the hydrogen ions being produced at the anode, creating a neutral solution for use in the next step.</w:t>
      </w:r>
      <w:r w:rsidR="00B8353C" w:rsidRPr="004B2EBB">
        <w:rPr>
          <w:rFonts w:ascii="Arial" w:hAnsi="Arial" w:cs="Arial"/>
          <w:sz w:val="20"/>
          <w:szCs w:val="20"/>
        </w:rPr>
        <w:t xml:space="preserve">  This process has been shown to work with red blood cells, </w:t>
      </w:r>
      <w:proofErr w:type="spellStart"/>
      <w:r w:rsidR="00B8353C" w:rsidRPr="004B2EBB">
        <w:rPr>
          <w:rFonts w:ascii="Arial" w:hAnsi="Arial" w:cs="Arial"/>
          <w:sz w:val="20"/>
          <w:szCs w:val="20"/>
        </w:rPr>
        <w:t>HeLa</w:t>
      </w:r>
      <w:proofErr w:type="spellEnd"/>
      <w:r w:rsidR="00B8353C" w:rsidRPr="004B2EBB">
        <w:rPr>
          <w:rFonts w:ascii="Arial" w:hAnsi="Arial" w:cs="Arial"/>
          <w:sz w:val="20"/>
          <w:szCs w:val="20"/>
        </w:rPr>
        <w:t xml:space="preserve">, and Chinese Hamster Ovary cells, so testing will be required to prove effectiveness at lysing human epithelial </w:t>
      </w:r>
      <w:r w:rsidR="00B04558" w:rsidRPr="004B2EBB">
        <w:rPr>
          <w:rFonts w:ascii="Arial" w:hAnsi="Arial" w:cs="Arial"/>
          <w:sz w:val="20"/>
          <w:szCs w:val="20"/>
        </w:rPr>
        <w:t xml:space="preserve">bronchial cells.  It can be hypothesized that since the </w:t>
      </w:r>
      <w:proofErr w:type="spellStart"/>
      <w:r w:rsidR="00B04558" w:rsidRPr="004B2EBB">
        <w:rPr>
          <w:rFonts w:ascii="Arial" w:hAnsi="Arial" w:cs="Arial"/>
          <w:sz w:val="20"/>
          <w:szCs w:val="20"/>
        </w:rPr>
        <w:t>HeLa</w:t>
      </w:r>
      <w:proofErr w:type="spellEnd"/>
      <w:r w:rsidR="00B04558" w:rsidRPr="004B2EBB">
        <w:rPr>
          <w:rFonts w:ascii="Arial" w:hAnsi="Arial" w:cs="Arial"/>
          <w:sz w:val="20"/>
          <w:szCs w:val="20"/>
        </w:rPr>
        <w:t xml:space="preserve"> cell line comes from human cervical epithelial cells, the process that works for </w:t>
      </w:r>
      <w:proofErr w:type="spellStart"/>
      <w:r w:rsidR="00B04558" w:rsidRPr="004B2EBB">
        <w:rPr>
          <w:rFonts w:ascii="Arial" w:hAnsi="Arial" w:cs="Arial"/>
          <w:sz w:val="20"/>
          <w:szCs w:val="20"/>
        </w:rPr>
        <w:t>HeLa</w:t>
      </w:r>
      <w:proofErr w:type="spellEnd"/>
      <w:r w:rsidR="00B04558" w:rsidRPr="004B2EBB">
        <w:rPr>
          <w:rFonts w:ascii="Arial" w:hAnsi="Arial" w:cs="Arial"/>
          <w:sz w:val="20"/>
          <w:szCs w:val="20"/>
        </w:rPr>
        <w:t xml:space="preserve"> may also work for epithelial bronchial cells.</w:t>
      </w:r>
    </w:p>
    <w:p w:rsidR="00F60FAA" w:rsidRDefault="00F60FAA" w:rsidP="00FD3797">
      <w:pPr>
        <w:spacing w:after="0" w:line="480" w:lineRule="auto"/>
        <w:jc w:val="center"/>
        <w:rPr>
          <w:rFonts w:ascii="Arial" w:hAnsi="Arial" w:cs="Arial"/>
          <w:sz w:val="20"/>
          <w:szCs w:val="20"/>
        </w:rPr>
      </w:pPr>
      <w:r w:rsidRPr="004B2EBB">
        <w:rPr>
          <w:rFonts w:ascii="Arial" w:hAnsi="Arial" w:cs="Arial"/>
          <w:noProof/>
          <w:sz w:val="20"/>
          <w:szCs w:val="20"/>
        </w:rPr>
        <w:drawing>
          <wp:inline distT="0" distB="0" distL="0" distR="0" wp14:anchorId="185592F2" wp14:editId="25F31326">
            <wp:extent cx="22383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38375" cy="1838325"/>
                    </a:xfrm>
                    <a:prstGeom prst="rect">
                      <a:avLst/>
                    </a:prstGeom>
                  </pic:spPr>
                </pic:pic>
              </a:graphicData>
            </a:graphic>
          </wp:inline>
        </w:drawing>
      </w:r>
      <w:r w:rsidRPr="004B2EBB">
        <w:rPr>
          <w:rFonts w:ascii="Arial" w:hAnsi="Arial" w:cs="Arial"/>
          <w:noProof/>
          <w:sz w:val="20"/>
          <w:szCs w:val="20"/>
        </w:rPr>
        <w:drawing>
          <wp:inline distT="0" distB="0" distL="0" distR="0" wp14:anchorId="1A03B269" wp14:editId="1AE025D6">
            <wp:extent cx="2416409" cy="1714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16409" cy="1714500"/>
                    </a:xfrm>
                    <a:prstGeom prst="rect">
                      <a:avLst/>
                    </a:prstGeom>
                  </pic:spPr>
                </pic:pic>
              </a:graphicData>
            </a:graphic>
          </wp:inline>
        </w:drawing>
      </w:r>
    </w:p>
    <w:p w:rsidR="00FD3797" w:rsidRDefault="00FD3797" w:rsidP="00231EAA">
      <w:pPr>
        <w:spacing w:after="0" w:line="480" w:lineRule="auto"/>
        <w:rPr>
          <w:rFonts w:ascii="Arial" w:hAnsi="Arial" w:cs="Arial"/>
          <w:sz w:val="20"/>
          <w:szCs w:val="20"/>
        </w:rPr>
        <w:sectPr w:rsidR="00FD3797">
          <w:pgSz w:w="12240" w:h="15840"/>
          <w:pgMar w:top="1440" w:right="1440" w:bottom="1440" w:left="1440" w:header="720" w:footer="720" w:gutter="0"/>
          <w:cols w:space="720"/>
          <w:docGrid w:linePitch="360"/>
        </w:sectPr>
      </w:pPr>
    </w:p>
    <w:p w:rsidR="00FD3797" w:rsidRPr="006033D2" w:rsidRDefault="00F60FAA" w:rsidP="006033D2">
      <w:pPr>
        <w:spacing w:after="0"/>
        <w:rPr>
          <w:rFonts w:ascii="Arial" w:hAnsi="Arial" w:cs="Arial"/>
          <w:b/>
          <w:sz w:val="16"/>
          <w:szCs w:val="16"/>
        </w:rPr>
      </w:pPr>
      <w:r w:rsidRPr="006033D2">
        <w:rPr>
          <w:rFonts w:ascii="Arial" w:hAnsi="Arial" w:cs="Arial"/>
          <w:b/>
          <w:sz w:val="16"/>
          <w:szCs w:val="16"/>
        </w:rPr>
        <w:lastRenderedPageBreak/>
        <w:t xml:space="preserve">Figure 2: </w:t>
      </w:r>
      <w:r w:rsidR="00FD3797" w:rsidRPr="006033D2">
        <w:rPr>
          <w:rFonts w:ascii="Arial" w:hAnsi="Arial" w:cs="Arial"/>
          <w:b/>
          <w:sz w:val="16"/>
          <w:szCs w:val="16"/>
        </w:rPr>
        <w:t xml:space="preserve">The reaction responsible for lysing cell membranes at the cathode </w:t>
      </w:r>
      <w:r w:rsidRPr="006033D2">
        <w:rPr>
          <w:rFonts w:ascii="Arial" w:hAnsi="Arial" w:cs="Arial"/>
          <w:b/>
          <w:sz w:val="16"/>
          <w:szCs w:val="16"/>
        </w:rPr>
        <w:t>[2</w:t>
      </w:r>
      <w:r w:rsidR="005A3470">
        <w:rPr>
          <w:rFonts w:ascii="Arial" w:hAnsi="Arial" w:cs="Arial"/>
          <w:b/>
          <w:sz w:val="16"/>
          <w:szCs w:val="16"/>
        </w:rPr>
        <w:t>1</w:t>
      </w:r>
      <w:r w:rsidRPr="006033D2">
        <w:rPr>
          <w:rFonts w:ascii="Arial" w:hAnsi="Arial" w:cs="Arial"/>
          <w:b/>
          <w:sz w:val="16"/>
          <w:szCs w:val="16"/>
        </w:rPr>
        <w:t>].</w:t>
      </w:r>
    </w:p>
    <w:p w:rsidR="00FD3797" w:rsidRPr="006033D2" w:rsidRDefault="00CA0AB5" w:rsidP="006033D2">
      <w:pPr>
        <w:spacing w:after="0"/>
        <w:rPr>
          <w:rFonts w:ascii="Arial" w:hAnsi="Arial" w:cs="Arial"/>
          <w:b/>
          <w:sz w:val="16"/>
          <w:szCs w:val="16"/>
        </w:rPr>
        <w:sectPr w:rsidR="00FD3797" w:rsidRPr="006033D2" w:rsidSect="00FD3797">
          <w:type w:val="continuous"/>
          <w:pgSz w:w="12240" w:h="15840"/>
          <w:pgMar w:top="1440" w:right="1440" w:bottom="1440" w:left="1440" w:header="720" w:footer="720" w:gutter="0"/>
          <w:cols w:num="2" w:space="720"/>
          <w:docGrid w:linePitch="360"/>
        </w:sectPr>
      </w:pPr>
      <w:r w:rsidRPr="006033D2">
        <w:rPr>
          <w:rFonts w:ascii="Arial" w:hAnsi="Arial" w:cs="Arial"/>
          <w:b/>
          <w:sz w:val="16"/>
          <w:szCs w:val="16"/>
        </w:rPr>
        <w:lastRenderedPageBreak/>
        <w:t xml:space="preserve">Figure 3: </w:t>
      </w:r>
      <w:r w:rsidR="00FD3797" w:rsidRPr="006033D2">
        <w:rPr>
          <w:rFonts w:ascii="Arial" w:hAnsi="Arial" w:cs="Arial"/>
          <w:b/>
          <w:sz w:val="16"/>
          <w:szCs w:val="16"/>
        </w:rPr>
        <w:t xml:space="preserve">A schematic and micrograph of the filter that separates the anode from the cathode.  Only lysed material can pass through </w:t>
      </w:r>
      <w:r w:rsidR="005A3470">
        <w:rPr>
          <w:rFonts w:ascii="Arial" w:hAnsi="Arial" w:cs="Arial"/>
          <w:b/>
          <w:sz w:val="16"/>
          <w:szCs w:val="16"/>
        </w:rPr>
        <w:t>[21</w:t>
      </w:r>
      <w:r w:rsidR="00F60FAA" w:rsidRPr="006033D2">
        <w:rPr>
          <w:rFonts w:ascii="Arial" w:hAnsi="Arial" w:cs="Arial"/>
          <w:b/>
          <w:sz w:val="16"/>
          <w:szCs w:val="16"/>
        </w:rPr>
        <w:t>]</w:t>
      </w:r>
      <w:r w:rsidR="00FD3797" w:rsidRPr="006033D2">
        <w:rPr>
          <w:rFonts w:ascii="Arial" w:hAnsi="Arial" w:cs="Arial"/>
          <w:b/>
          <w:sz w:val="16"/>
          <w:szCs w:val="16"/>
        </w:rPr>
        <w:t>.</w:t>
      </w:r>
    </w:p>
    <w:p w:rsidR="00FD3797" w:rsidRDefault="00FD3797" w:rsidP="00231EAA">
      <w:pPr>
        <w:spacing w:after="0" w:line="480" w:lineRule="auto"/>
        <w:rPr>
          <w:rFonts w:ascii="Arial" w:hAnsi="Arial" w:cs="Arial"/>
          <w:sz w:val="20"/>
          <w:szCs w:val="20"/>
        </w:rPr>
        <w:sectPr w:rsidR="00FD3797" w:rsidSect="00FD3797">
          <w:type w:val="continuous"/>
          <w:pgSz w:w="12240" w:h="15840"/>
          <w:pgMar w:top="1440" w:right="1440" w:bottom="1440" w:left="1440" w:header="720" w:footer="720" w:gutter="0"/>
          <w:cols w:space="720"/>
          <w:docGrid w:linePitch="360"/>
        </w:sectPr>
      </w:pPr>
    </w:p>
    <w:p w:rsidR="00CB689F" w:rsidRPr="004B2EBB" w:rsidRDefault="002B122E" w:rsidP="00231EAA">
      <w:pPr>
        <w:spacing w:after="0" w:line="480" w:lineRule="auto"/>
        <w:rPr>
          <w:rFonts w:ascii="Arial" w:hAnsi="Arial" w:cs="Arial"/>
          <w:sz w:val="20"/>
          <w:szCs w:val="20"/>
        </w:rPr>
      </w:pPr>
      <w:proofErr w:type="gramStart"/>
      <w:r w:rsidRPr="004B2EBB">
        <w:rPr>
          <w:rFonts w:ascii="Arial" w:hAnsi="Arial" w:cs="Arial"/>
          <w:i/>
          <w:sz w:val="20"/>
          <w:szCs w:val="20"/>
        </w:rPr>
        <w:lastRenderedPageBreak/>
        <w:t>mRNA</w:t>
      </w:r>
      <w:proofErr w:type="gramEnd"/>
      <w:r w:rsidRPr="004B2EBB">
        <w:rPr>
          <w:rFonts w:ascii="Arial" w:hAnsi="Arial" w:cs="Arial"/>
          <w:i/>
          <w:sz w:val="20"/>
          <w:szCs w:val="20"/>
        </w:rPr>
        <w:t xml:space="preserve"> </w:t>
      </w:r>
      <w:proofErr w:type="spellStart"/>
      <w:r w:rsidRPr="004B2EBB">
        <w:rPr>
          <w:rFonts w:ascii="Arial" w:hAnsi="Arial" w:cs="Arial"/>
          <w:i/>
          <w:sz w:val="20"/>
          <w:szCs w:val="20"/>
        </w:rPr>
        <w:t>m</w:t>
      </w:r>
      <w:r w:rsidR="00CB689F" w:rsidRPr="004B2EBB">
        <w:rPr>
          <w:rFonts w:ascii="Arial" w:hAnsi="Arial" w:cs="Arial"/>
          <w:i/>
          <w:sz w:val="20"/>
          <w:szCs w:val="20"/>
        </w:rPr>
        <w:t>icrocolumn</w:t>
      </w:r>
      <w:proofErr w:type="spellEnd"/>
      <w:r w:rsidR="00CB689F" w:rsidRPr="004B2EBB">
        <w:rPr>
          <w:rFonts w:ascii="Arial" w:hAnsi="Arial" w:cs="Arial"/>
          <w:i/>
          <w:sz w:val="20"/>
          <w:szCs w:val="20"/>
        </w:rPr>
        <w:t xml:space="preserve"> Purification</w:t>
      </w:r>
    </w:p>
    <w:p w:rsidR="00CB689F" w:rsidRPr="004B2EBB" w:rsidRDefault="005A3470" w:rsidP="00231EAA">
      <w:pPr>
        <w:spacing w:after="0" w:line="480" w:lineRule="auto"/>
        <w:rPr>
          <w:rFonts w:ascii="Arial" w:hAnsi="Arial" w:cs="Arial"/>
          <w:sz w:val="20"/>
          <w:szCs w:val="20"/>
        </w:rPr>
      </w:pPr>
      <w:r>
        <w:rPr>
          <w:rFonts w:ascii="Arial" w:hAnsi="Arial" w:cs="Arial"/>
          <w:sz w:val="20"/>
          <w:szCs w:val="20"/>
        </w:rPr>
        <w:tab/>
      </w:r>
      <w:proofErr w:type="spellStart"/>
      <w:r>
        <w:rPr>
          <w:rFonts w:ascii="Arial" w:hAnsi="Arial" w:cs="Arial"/>
          <w:sz w:val="20"/>
          <w:szCs w:val="20"/>
        </w:rPr>
        <w:t>Poeckh</w:t>
      </w:r>
      <w:proofErr w:type="spellEnd"/>
      <w:r>
        <w:rPr>
          <w:rFonts w:ascii="Arial" w:hAnsi="Arial" w:cs="Arial"/>
          <w:sz w:val="20"/>
          <w:szCs w:val="20"/>
        </w:rPr>
        <w:t xml:space="preserve"> </w:t>
      </w:r>
      <w:proofErr w:type="gramStart"/>
      <w:r>
        <w:rPr>
          <w:rFonts w:ascii="Arial" w:hAnsi="Arial" w:cs="Arial"/>
          <w:sz w:val="20"/>
          <w:szCs w:val="20"/>
        </w:rPr>
        <w:t>et</w:t>
      </w:r>
      <w:proofErr w:type="gramEnd"/>
      <w:r>
        <w:rPr>
          <w:rFonts w:ascii="Arial" w:hAnsi="Arial" w:cs="Arial"/>
          <w:sz w:val="20"/>
          <w:szCs w:val="20"/>
        </w:rPr>
        <w:t xml:space="preserve">. </w:t>
      </w:r>
      <w:proofErr w:type="gramStart"/>
      <w:r>
        <w:rPr>
          <w:rFonts w:ascii="Arial" w:hAnsi="Arial" w:cs="Arial"/>
          <w:sz w:val="20"/>
          <w:szCs w:val="20"/>
        </w:rPr>
        <w:t>al</w:t>
      </w:r>
      <w:proofErr w:type="gramEnd"/>
      <w:r>
        <w:rPr>
          <w:rFonts w:ascii="Arial" w:hAnsi="Arial" w:cs="Arial"/>
          <w:sz w:val="20"/>
          <w:szCs w:val="20"/>
        </w:rPr>
        <w:t xml:space="preserve"> [23</w:t>
      </w:r>
      <w:r w:rsidR="000A3C7D" w:rsidRPr="004B2EBB">
        <w:rPr>
          <w:rFonts w:ascii="Arial" w:hAnsi="Arial" w:cs="Arial"/>
          <w:sz w:val="20"/>
          <w:szCs w:val="20"/>
        </w:rPr>
        <w:t>]</w:t>
      </w:r>
      <w:r w:rsidR="003B52C6" w:rsidRPr="004B2EBB">
        <w:rPr>
          <w:rFonts w:ascii="Arial" w:hAnsi="Arial" w:cs="Arial"/>
          <w:sz w:val="20"/>
          <w:szCs w:val="20"/>
        </w:rPr>
        <w:t xml:space="preserve"> present a miniaturized silica bead microfluidics device for purifying DNA and RNA from cell lysate.  </w:t>
      </w:r>
      <w:r w:rsidR="005B2426" w:rsidRPr="004B2EBB">
        <w:rPr>
          <w:rFonts w:ascii="Arial" w:hAnsi="Arial" w:cs="Arial"/>
          <w:sz w:val="20"/>
          <w:szCs w:val="20"/>
        </w:rPr>
        <w:t xml:space="preserve">Their approach to the design mimics </w:t>
      </w:r>
      <w:proofErr w:type="spellStart"/>
      <w:r w:rsidR="005B2426" w:rsidRPr="004B2EBB">
        <w:rPr>
          <w:rFonts w:ascii="Arial" w:hAnsi="Arial" w:cs="Arial"/>
          <w:sz w:val="20"/>
          <w:szCs w:val="20"/>
        </w:rPr>
        <w:t>macroscale</w:t>
      </w:r>
      <w:proofErr w:type="spellEnd"/>
      <w:r w:rsidR="005B2426" w:rsidRPr="004B2EBB">
        <w:rPr>
          <w:rFonts w:ascii="Arial" w:hAnsi="Arial" w:cs="Arial"/>
          <w:sz w:val="20"/>
          <w:szCs w:val="20"/>
        </w:rPr>
        <w:t xml:space="preserve"> purification methods.  The cell lysate is pushed through a bed of silica beads in a solution with a high ionic strength, like sodium chloride</w:t>
      </w:r>
      <w:r w:rsidR="00C77DB7" w:rsidRPr="004B2EBB">
        <w:rPr>
          <w:rFonts w:ascii="Arial" w:hAnsi="Arial" w:cs="Arial"/>
          <w:sz w:val="20"/>
          <w:szCs w:val="20"/>
        </w:rPr>
        <w:t xml:space="preserve"> or </w:t>
      </w:r>
      <w:proofErr w:type="spellStart"/>
      <w:r w:rsidR="00C77DB7" w:rsidRPr="004B2EBB">
        <w:rPr>
          <w:rFonts w:ascii="Arial" w:hAnsi="Arial" w:cs="Arial"/>
          <w:sz w:val="20"/>
          <w:szCs w:val="20"/>
        </w:rPr>
        <w:t>guanidinium</w:t>
      </w:r>
      <w:proofErr w:type="spellEnd"/>
      <w:r w:rsidR="00C77DB7" w:rsidRPr="004B2EBB">
        <w:rPr>
          <w:rFonts w:ascii="Arial" w:hAnsi="Arial" w:cs="Arial"/>
          <w:sz w:val="20"/>
          <w:szCs w:val="20"/>
        </w:rPr>
        <w:t xml:space="preserve"> </w:t>
      </w:r>
      <w:proofErr w:type="spellStart"/>
      <w:r w:rsidR="00C77DB7" w:rsidRPr="004B2EBB">
        <w:rPr>
          <w:rFonts w:ascii="Arial" w:hAnsi="Arial" w:cs="Arial"/>
          <w:sz w:val="20"/>
          <w:szCs w:val="20"/>
        </w:rPr>
        <w:t>thiocyanate</w:t>
      </w:r>
      <w:proofErr w:type="spellEnd"/>
      <w:r w:rsidR="00C77DB7" w:rsidRPr="004B2EBB">
        <w:rPr>
          <w:rFonts w:ascii="Arial" w:hAnsi="Arial" w:cs="Arial"/>
          <w:sz w:val="20"/>
          <w:szCs w:val="20"/>
        </w:rPr>
        <w:t xml:space="preserve"> (</w:t>
      </w:r>
      <w:proofErr w:type="spellStart"/>
      <w:r w:rsidR="00C77DB7" w:rsidRPr="004B2EBB">
        <w:rPr>
          <w:rFonts w:ascii="Arial" w:hAnsi="Arial" w:cs="Arial"/>
          <w:sz w:val="20"/>
          <w:szCs w:val="20"/>
        </w:rPr>
        <w:t>GuSCN</w:t>
      </w:r>
      <w:proofErr w:type="spellEnd"/>
      <w:r w:rsidR="00C77DB7" w:rsidRPr="004B2EBB">
        <w:rPr>
          <w:rFonts w:ascii="Arial" w:hAnsi="Arial" w:cs="Arial"/>
          <w:sz w:val="20"/>
          <w:szCs w:val="20"/>
        </w:rPr>
        <w:t>)</w:t>
      </w:r>
      <w:r w:rsidR="005B2426" w:rsidRPr="004B2EBB">
        <w:rPr>
          <w:rFonts w:ascii="Arial" w:hAnsi="Arial" w:cs="Arial"/>
          <w:sz w:val="20"/>
          <w:szCs w:val="20"/>
        </w:rPr>
        <w:t xml:space="preserve">.  The solution causes DNA and RNA to bind to the surface of the silica beads.  A subsequent wash through of a neutral solution removes all other non-bonded debris.  The DNA or RNA is then released from the silica beads with an elution buffer and pushed out the column.  </w:t>
      </w:r>
      <w:proofErr w:type="spellStart"/>
      <w:r w:rsidR="005B2426" w:rsidRPr="004B2EBB">
        <w:rPr>
          <w:rFonts w:ascii="Arial" w:hAnsi="Arial" w:cs="Arial"/>
          <w:sz w:val="20"/>
          <w:szCs w:val="20"/>
        </w:rPr>
        <w:t>Macroscale</w:t>
      </w:r>
      <w:proofErr w:type="spellEnd"/>
      <w:r w:rsidR="005B2426" w:rsidRPr="004B2EBB">
        <w:rPr>
          <w:rFonts w:ascii="Arial" w:hAnsi="Arial" w:cs="Arial"/>
          <w:sz w:val="20"/>
          <w:szCs w:val="20"/>
        </w:rPr>
        <w:t xml:space="preserve"> purification makes use of centrifugation to pull the lysate, wash, and elution solutions through the column; however, this is not feasible for a microfluidics device.  Instead, </w:t>
      </w:r>
      <w:proofErr w:type="spellStart"/>
      <w:r w:rsidR="005B2426" w:rsidRPr="004B2EBB">
        <w:rPr>
          <w:rFonts w:ascii="Arial" w:hAnsi="Arial" w:cs="Arial"/>
          <w:sz w:val="20"/>
          <w:szCs w:val="20"/>
        </w:rPr>
        <w:t>Poeckh</w:t>
      </w:r>
      <w:proofErr w:type="spellEnd"/>
      <w:r w:rsidR="005B2426" w:rsidRPr="004B2EBB">
        <w:rPr>
          <w:rFonts w:ascii="Arial" w:hAnsi="Arial" w:cs="Arial"/>
          <w:sz w:val="20"/>
          <w:szCs w:val="20"/>
        </w:rPr>
        <w:t xml:space="preserve"> </w:t>
      </w:r>
      <w:proofErr w:type="gramStart"/>
      <w:r w:rsidR="005B2426" w:rsidRPr="004B2EBB">
        <w:rPr>
          <w:rFonts w:ascii="Arial" w:hAnsi="Arial" w:cs="Arial"/>
          <w:sz w:val="20"/>
          <w:szCs w:val="20"/>
        </w:rPr>
        <w:t>et</w:t>
      </w:r>
      <w:proofErr w:type="gramEnd"/>
      <w:r w:rsidR="005B2426" w:rsidRPr="004B2EBB">
        <w:rPr>
          <w:rFonts w:ascii="Arial" w:hAnsi="Arial" w:cs="Arial"/>
          <w:sz w:val="20"/>
          <w:szCs w:val="20"/>
        </w:rPr>
        <w:t xml:space="preserve">. </w:t>
      </w:r>
      <w:proofErr w:type="gramStart"/>
      <w:r w:rsidR="005B2426" w:rsidRPr="004B2EBB">
        <w:rPr>
          <w:rFonts w:ascii="Arial" w:hAnsi="Arial" w:cs="Arial"/>
          <w:sz w:val="20"/>
          <w:szCs w:val="20"/>
        </w:rPr>
        <w:t>al</w:t>
      </w:r>
      <w:proofErr w:type="gramEnd"/>
      <w:r w:rsidR="005B2426" w:rsidRPr="004B2EBB">
        <w:rPr>
          <w:rFonts w:ascii="Arial" w:hAnsi="Arial" w:cs="Arial"/>
          <w:sz w:val="20"/>
          <w:szCs w:val="20"/>
        </w:rPr>
        <w:t xml:space="preserve"> found that using a pressure gradient to drive the fluid flow in the device was sufficient.</w:t>
      </w:r>
    </w:p>
    <w:p w:rsidR="00BA0640" w:rsidRPr="004B2EBB" w:rsidRDefault="00BA0640" w:rsidP="00231EAA">
      <w:pPr>
        <w:spacing w:after="0" w:line="480" w:lineRule="auto"/>
        <w:rPr>
          <w:rFonts w:ascii="Arial" w:hAnsi="Arial" w:cs="Arial"/>
          <w:sz w:val="20"/>
          <w:szCs w:val="20"/>
        </w:rPr>
      </w:pPr>
      <w:r w:rsidRPr="004B2EBB">
        <w:rPr>
          <w:rFonts w:ascii="Arial" w:hAnsi="Arial" w:cs="Arial"/>
          <w:sz w:val="20"/>
          <w:szCs w:val="20"/>
        </w:rPr>
        <w:tab/>
      </w:r>
      <w:proofErr w:type="spellStart"/>
      <w:r w:rsidRPr="004B2EBB">
        <w:rPr>
          <w:rFonts w:ascii="Arial" w:hAnsi="Arial" w:cs="Arial"/>
          <w:sz w:val="20"/>
          <w:szCs w:val="20"/>
        </w:rPr>
        <w:t>Poeckh</w:t>
      </w:r>
      <w:proofErr w:type="spellEnd"/>
      <w:r w:rsidRPr="004B2EBB">
        <w:rPr>
          <w:rFonts w:ascii="Arial" w:hAnsi="Arial" w:cs="Arial"/>
          <w:sz w:val="20"/>
          <w:szCs w:val="20"/>
        </w:rPr>
        <w:t xml:space="preserve"> </w:t>
      </w:r>
      <w:proofErr w:type="gramStart"/>
      <w:r w:rsidRPr="004B2EBB">
        <w:rPr>
          <w:rFonts w:ascii="Arial" w:hAnsi="Arial" w:cs="Arial"/>
          <w:sz w:val="20"/>
          <w:szCs w:val="20"/>
        </w:rPr>
        <w:t>et</w:t>
      </w:r>
      <w:proofErr w:type="gramEnd"/>
      <w:r w:rsidRPr="004B2EBB">
        <w:rPr>
          <w:rFonts w:ascii="Arial" w:hAnsi="Arial" w:cs="Arial"/>
          <w:sz w:val="20"/>
          <w:szCs w:val="20"/>
        </w:rPr>
        <w:t xml:space="preserve">. </w:t>
      </w:r>
      <w:proofErr w:type="gramStart"/>
      <w:r w:rsidRPr="004B2EBB">
        <w:rPr>
          <w:rFonts w:ascii="Arial" w:hAnsi="Arial" w:cs="Arial"/>
          <w:sz w:val="20"/>
          <w:szCs w:val="20"/>
        </w:rPr>
        <w:t>al</w:t>
      </w:r>
      <w:proofErr w:type="gramEnd"/>
      <w:r w:rsidRPr="004B2EBB">
        <w:rPr>
          <w:rFonts w:ascii="Arial" w:hAnsi="Arial" w:cs="Arial"/>
          <w:sz w:val="20"/>
          <w:szCs w:val="20"/>
        </w:rPr>
        <w:t xml:space="preserve"> also found </w:t>
      </w:r>
      <w:r w:rsidR="00C77DB7" w:rsidRPr="004B2EBB">
        <w:rPr>
          <w:rFonts w:ascii="Arial" w:hAnsi="Arial" w:cs="Arial"/>
          <w:sz w:val="20"/>
          <w:szCs w:val="20"/>
        </w:rPr>
        <w:t>the elution times for RNA and DNA at a flow rate of 100 µL/</w:t>
      </w:r>
      <w:r w:rsidR="001A046C" w:rsidRPr="004B2EBB">
        <w:rPr>
          <w:rFonts w:ascii="Arial" w:hAnsi="Arial" w:cs="Arial"/>
          <w:sz w:val="20"/>
          <w:szCs w:val="20"/>
        </w:rPr>
        <w:t xml:space="preserve">hour with 6M </w:t>
      </w:r>
      <w:proofErr w:type="spellStart"/>
      <w:r w:rsidR="001A046C" w:rsidRPr="004B2EBB">
        <w:rPr>
          <w:rFonts w:ascii="Arial" w:hAnsi="Arial" w:cs="Arial"/>
          <w:sz w:val="20"/>
          <w:szCs w:val="20"/>
        </w:rPr>
        <w:t>GuSCN</w:t>
      </w:r>
      <w:proofErr w:type="spellEnd"/>
      <w:r w:rsidR="001A046C" w:rsidRPr="004B2EBB">
        <w:rPr>
          <w:rFonts w:ascii="Arial" w:hAnsi="Arial" w:cs="Arial"/>
          <w:sz w:val="20"/>
          <w:szCs w:val="20"/>
        </w:rPr>
        <w:t xml:space="preserve"> at a pH of 8; most of the RNA elutes with the first 2 µL of solution, while DNA elutes between 3 to 6 µL.</w:t>
      </w:r>
      <w:r w:rsidR="00F06B9E" w:rsidRPr="004B2EBB">
        <w:rPr>
          <w:rFonts w:ascii="Arial" w:hAnsi="Arial" w:cs="Arial"/>
          <w:sz w:val="20"/>
          <w:szCs w:val="20"/>
        </w:rPr>
        <w:t xml:space="preserve">  The solution used for the elution step was molecular biology grade water.</w:t>
      </w:r>
    </w:p>
    <w:p w:rsidR="0004408D" w:rsidRPr="004B2EBB" w:rsidRDefault="0004408D" w:rsidP="00231EAA">
      <w:pPr>
        <w:spacing w:after="0" w:line="480" w:lineRule="auto"/>
        <w:rPr>
          <w:rFonts w:ascii="Arial" w:hAnsi="Arial" w:cs="Arial"/>
          <w:sz w:val="20"/>
          <w:szCs w:val="20"/>
        </w:rPr>
      </w:pPr>
      <w:r w:rsidRPr="004B2EBB">
        <w:rPr>
          <w:rFonts w:ascii="Arial" w:hAnsi="Arial" w:cs="Arial"/>
          <w:sz w:val="20"/>
          <w:szCs w:val="20"/>
        </w:rPr>
        <w:tab/>
        <w:t>For the microfluidics device presented here, the mRNA purification step represents the most complicated part of the setup, design-wise.</w:t>
      </w:r>
      <w:r w:rsidR="000C5A36" w:rsidRPr="004B2EBB">
        <w:rPr>
          <w:rFonts w:ascii="Arial" w:hAnsi="Arial" w:cs="Arial"/>
          <w:sz w:val="20"/>
          <w:szCs w:val="20"/>
        </w:rPr>
        <w:t xml:space="preserve">  Separate inlets would need to be addressed for the introduction of </w:t>
      </w:r>
      <w:proofErr w:type="spellStart"/>
      <w:r w:rsidR="000C5A36" w:rsidRPr="004B2EBB">
        <w:rPr>
          <w:rFonts w:ascii="Arial" w:hAnsi="Arial" w:cs="Arial"/>
          <w:sz w:val="20"/>
          <w:szCs w:val="20"/>
        </w:rPr>
        <w:t>GuSCN</w:t>
      </w:r>
      <w:proofErr w:type="spellEnd"/>
      <w:r w:rsidR="000C5A36" w:rsidRPr="004B2EBB">
        <w:rPr>
          <w:rFonts w:ascii="Arial" w:hAnsi="Arial" w:cs="Arial"/>
          <w:sz w:val="20"/>
          <w:szCs w:val="20"/>
        </w:rPr>
        <w:t xml:space="preserve">, wash buffer, and </w:t>
      </w:r>
      <w:r w:rsidR="002C0EFA" w:rsidRPr="004B2EBB">
        <w:rPr>
          <w:rFonts w:ascii="Arial" w:hAnsi="Arial" w:cs="Arial"/>
          <w:sz w:val="20"/>
          <w:szCs w:val="20"/>
        </w:rPr>
        <w:t>MBG water, as well as separate outlets for the removal of lysate and elution.  However, the volume of the reagents required are very small and could conceivably come pre-packaged in the device.</w:t>
      </w:r>
    </w:p>
    <w:p w:rsidR="00FF2813" w:rsidRPr="004B2EBB" w:rsidRDefault="00FF2813" w:rsidP="00231EAA">
      <w:pPr>
        <w:spacing w:after="0" w:line="480" w:lineRule="auto"/>
        <w:rPr>
          <w:rFonts w:ascii="Arial" w:hAnsi="Arial" w:cs="Arial"/>
          <w:i/>
          <w:sz w:val="20"/>
          <w:szCs w:val="20"/>
        </w:rPr>
      </w:pPr>
    </w:p>
    <w:p w:rsidR="00FF2813" w:rsidRPr="004B2EBB" w:rsidRDefault="00FF2813" w:rsidP="00231EAA">
      <w:pPr>
        <w:spacing w:after="0" w:line="480" w:lineRule="auto"/>
        <w:rPr>
          <w:rFonts w:ascii="Arial" w:hAnsi="Arial" w:cs="Arial"/>
          <w:i/>
          <w:sz w:val="20"/>
          <w:szCs w:val="20"/>
        </w:rPr>
      </w:pPr>
      <w:r w:rsidRPr="004B2EBB">
        <w:rPr>
          <w:rFonts w:ascii="Arial" w:hAnsi="Arial" w:cs="Arial"/>
          <w:i/>
          <w:sz w:val="20"/>
          <w:szCs w:val="20"/>
        </w:rPr>
        <w:t xml:space="preserve">Hybridization of mRNA to complementary </w:t>
      </w:r>
      <w:proofErr w:type="spellStart"/>
      <w:r w:rsidRPr="004B2EBB">
        <w:rPr>
          <w:rFonts w:ascii="Arial" w:hAnsi="Arial" w:cs="Arial"/>
          <w:i/>
          <w:sz w:val="20"/>
          <w:szCs w:val="20"/>
        </w:rPr>
        <w:t>ssDNA</w:t>
      </w:r>
      <w:proofErr w:type="spellEnd"/>
    </w:p>
    <w:p w:rsidR="00151058" w:rsidRPr="004B2EBB" w:rsidRDefault="00FF2813" w:rsidP="00231EAA">
      <w:pPr>
        <w:spacing w:after="0" w:line="480" w:lineRule="auto"/>
        <w:rPr>
          <w:rFonts w:ascii="Arial" w:hAnsi="Arial" w:cs="Arial"/>
          <w:sz w:val="20"/>
          <w:szCs w:val="20"/>
        </w:rPr>
      </w:pPr>
      <w:r w:rsidRPr="004B2EBB">
        <w:rPr>
          <w:rFonts w:ascii="Arial" w:hAnsi="Arial" w:cs="Arial"/>
          <w:sz w:val="20"/>
          <w:szCs w:val="20"/>
        </w:rPr>
        <w:tab/>
        <w:t xml:space="preserve">The next step is to promote the hybridization of the purified mRNA to complementary </w:t>
      </w:r>
      <w:proofErr w:type="spellStart"/>
      <w:r w:rsidRPr="004B2EBB">
        <w:rPr>
          <w:rFonts w:ascii="Arial" w:hAnsi="Arial" w:cs="Arial"/>
          <w:sz w:val="20"/>
          <w:szCs w:val="20"/>
        </w:rPr>
        <w:t>ssDNA</w:t>
      </w:r>
      <w:proofErr w:type="spellEnd"/>
      <w:r w:rsidRPr="004B2EBB">
        <w:rPr>
          <w:rFonts w:ascii="Arial" w:hAnsi="Arial" w:cs="Arial"/>
          <w:sz w:val="20"/>
          <w:szCs w:val="20"/>
        </w:rPr>
        <w:t xml:space="preserve"> bearing the mutation.  The </w:t>
      </w:r>
      <w:proofErr w:type="spellStart"/>
      <w:r w:rsidRPr="004B2EBB">
        <w:rPr>
          <w:rFonts w:ascii="Arial" w:hAnsi="Arial" w:cs="Arial"/>
          <w:sz w:val="20"/>
          <w:szCs w:val="20"/>
        </w:rPr>
        <w:t>sDNA</w:t>
      </w:r>
      <w:proofErr w:type="spellEnd"/>
      <w:r w:rsidRPr="004B2EBB">
        <w:rPr>
          <w:rFonts w:ascii="Arial" w:hAnsi="Arial" w:cs="Arial"/>
          <w:sz w:val="20"/>
          <w:szCs w:val="20"/>
        </w:rPr>
        <w:t xml:space="preserve"> w</w:t>
      </w:r>
      <w:r w:rsidR="000642C1" w:rsidRPr="004B2EBB">
        <w:rPr>
          <w:rFonts w:ascii="Arial" w:hAnsi="Arial" w:cs="Arial"/>
          <w:sz w:val="20"/>
          <w:szCs w:val="20"/>
        </w:rPr>
        <w:t>ill have to be synthesized via RT-PCR from mRN</w:t>
      </w:r>
      <w:r w:rsidR="004E3D30">
        <w:rPr>
          <w:rFonts w:ascii="Arial" w:hAnsi="Arial" w:cs="Arial"/>
          <w:sz w:val="20"/>
          <w:szCs w:val="20"/>
        </w:rPr>
        <w:t>A known to</w:t>
      </w:r>
      <w:r w:rsidR="005A3470">
        <w:rPr>
          <w:rFonts w:ascii="Arial" w:hAnsi="Arial" w:cs="Arial"/>
          <w:sz w:val="20"/>
          <w:szCs w:val="20"/>
        </w:rPr>
        <w:t xml:space="preserve"> carry the mutation [24</w:t>
      </w:r>
      <w:r w:rsidR="000642C1" w:rsidRPr="004B2EBB">
        <w:rPr>
          <w:rFonts w:ascii="Arial" w:hAnsi="Arial" w:cs="Arial"/>
          <w:sz w:val="20"/>
          <w:szCs w:val="20"/>
        </w:rPr>
        <w:t xml:space="preserve">]; this step </w:t>
      </w:r>
      <w:r w:rsidR="00A014F2" w:rsidRPr="004B2EBB">
        <w:rPr>
          <w:rFonts w:ascii="Arial" w:hAnsi="Arial" w:cs="Arial"/>
          <w:sz w:val="20"/>
          <w:szCs w:val="20"/>
        </w:rPr>
        <w:t xml:space="preserve">will be carried out beforehand and separately </w:t>
      </w:r>
      <w:r w:rsidR="000642C1" w:rsidRPr="004B2EBB">
        <w:rPr>
          <w:rFonts w:ascii="Arial" w:hAnsi="Arial" w:cs="Arial"/>
          <w:sz w:val="20"/>
          <w:szCs w:val="20"/>
        </w:rPr>
        <w:t>from the</w:t>
      </w:r>
      <w:r w:rsidR="00A014F2" w:rsidRPr="004B2EBB">
        <w:rPr>
          <w:rFonts w:ascii="Arial" w:hAnsi="Arial" w:cs="Arial"/>
          <w:sz w:val="20"/>
          <w:szCs w:val="20"/>
        </w:rPr>
        <w:t xml:space="preserve"> rest of the procedures described here, and will not involve the device.</w:t>
      </w:r>
      <w:r w:rsidR="0079021C" w:rsidRPr="004B2EBB">
        <w:rPr>
          <w:rFonts w:ascii="Arial" w:hAnsi="Arial" w:cs="Arial"/>
          <w:sz w:val="20"/>
          <w:szCs w:val="20"/>
        </w:rPr>
        <w:t xml:space="preserve">  </w:t>
      </w:r>
      <w:r w:rsidR="00151058" w:rsidRPr="004B2EBB">
        <w:rPr>
          <w:rFonts w:ascii="Arial" w:hAnsi="Arial" w:cs="Arial"/>
          <w:sz w:val="20"/>
          <w:szCs w:val="20"/>
        </w:rPr>
        <w:t xml:space="preserve">In the device, the purified mRNA and </w:t>
      </w:r>
      <w:proofErr w:type="spellStart"/>
      <w:r w:rsidR="00151058" w:rsidRPr="004B2EBB">
        <w:rPr>
          <w:rFonts w:ascii="Arial" w:hAnsi="Arial" w:cs="Arial"/>
          <w:sz w:val="20"/>
          <w:szCs w:val="20"/>
        </w:rPr>
        <w:t>ssDNA</w:t>
      </w:r>
      <w:proofErr w:type="spellEnd"/>
      <w:r w:rsidR="00151058" w:rsidRPr="004B2EBB">
        <w:rPr>
          <w:rFonts w:ascii="Arial" w:hAnsi="Arial" w:cs="Arial"/>
          <w:sz w:val="20"/>
          <w:szCs w:val="20"/>
        </w:rPr>
        <w:t xml:space="preserve"> will be combined in a new chamber containing 10 </w:t>
      </w:r>
      <w:proofErr w:type="spellStart"/>
      <w:r w:rsidR="00151058" w:rsidRPr="004B2EBB">
        <w:rPr>
          <w:rFonts w:ascii="Arial" w:hAnsi="Arial" w:cs="Arial"/>
          <w:sz w:val="20"/>
          <w:szCs w:val="20"/>
        </w:rPr>
        <w:t>mM</w:t>
      </w:r>
      <w:proofErr w:type="spellEnd"/>
      <w:r w:rsidR="00151058" w:rsidRPr="004B2EBB">
        <w:rPr>
          <w:rFonts w:ascii="Arial" w:hAnsi="Arial" w:cs="Arial"/>
          <w:sz w:val="20"/>
          <w:szCs w:val="20"/>
        </w:rPr>
        <w:t xml:space="preserve"> PBS and 0.3 </w:t>
      </w:r>
      <w:proofErr w:type="spellStart"/>
      <w:r w:rsidR="00151058" w:rsidRPr="004B2EBB">
        <w:rPr>
          <w:rFonts w:ascii="Arial" w:hAnsi="Arial" w:cs="Arial"/>
          <w:sz w:val="20"/>
          <w:szCs w:val="20"/>
        </w:rPr>
        <w:t>NaCl</w:t>
      </w:r>
      <w:proofErr w:type="spellEnd"/>
      <w:r w:rsidR="00151058" w:rsidRPr="004B2EBB">
        <w:rPr>
          <w:rFonts w:ascii="Arial" w:hAnsi="Arial" w:cs="Arial"/>
          <w:sz w:val="20"/>
          <w:szCs w:val="20"/>
        </w:rPr>
        <w:t>.  The hybridization reaction will take place over the course of five minutes at room temperature [</w:t>
      </w:r>
      <w:r w:rsidR="005A3470">
        <w:rPr>
          <w:rFonts w:ascii="Arial" w:hAnsi="Arial" w:cs="Arial"/>
          <w:sz w:val="20"/>
          <w:szCs w:val="20"/>
        </w:rPr>
        <w:t>25</w:t>
      </w:r>
      <w:r w:rsidR="0079021C" w:rsidRPr="004B2EBB">
        <w:rPr>
          <w:rFonts w:ascii="Arial" w:hAnsi="Arial" w:cs="Arial"/>
          <w:sz w:val="20"/>
          <w:szCs w:val="20"/>
        </w:rPr>
        <w:t>]</w:t>
      </w:r>
      <w:r w:rsidR="00151058" w:rsidRPr="004B2EBB">
        <w:rPr>
          <w:rFonts w:ascii="Arial" w:hAnsi="Arial" w:cs="Arial"/>
          <w:sz w:val="20"/>
          <w:szCs w:val="20"/>
        </w:rPr>
        <w:t>.</w:t>
      </w:r>
    </w:p>
    <w:p w:rsidR="00E260F3" w:rsidRPr="004B2EBB" w:rsidRDefault="005A3470" w:rsidP="00231EAA">
      <w:pPr>
        <w:spacing w:after="0" w:line="480" w:lineRule="auto"/>
        <w:rPr>
          <w:rFonts w:ascii="Arial" w:hAnsi="Arial" w:cs="Arial"/>
          <w:sz w:val="20"/>
          <w:szCs w:val="20"/>
        </w:rPr>
      </w:pPr>
      <w:r>
        <w:rPr>
          <w:rFonts w:ascii="Arial" w:hAnsi="Arial" w:cs="Arial"/>
          <w:sz w:val="20"/>
          <w:szCs w:val="20"/>
        </w:rPr>
        <w:tab/>
        <w:t xml:space="preserve">Li </w:t>
      </w:r>
      <w:proofErr w:type="gramStart"/>
      <w:r>
        <w:rPr>
          <w:rFonts w:ascii="Arial" w:hAnsi="Arial" w:cs="Arial"/>
          <w:sz w:val="20"/>
          <w:szCs w:val="20"/>
        </w:rPr>
        <w:t>et</w:t>
      </w:r>
      <w:proofErr w:type="gramEnd"/>
      <w:r>
        <w:rPr>
          <w:rFonts w:ascii="Arial" w:hAnsi="Arial" w:cs="Arial"/>
          <w:sz w:val="20"/>
          <w:szCs w:val="20"/>
        </w:rPr>
        <w:t xml:space="preserve">. </w:t>
      </w:r>
      <w:proofErr w:type="gramStart"/>
      <w:r>
        <w:rPr>
          <w:rFonts w:ascii="Arial" w:hAnsi="Arial" w:cs="Arial"/>
          <w:sz w:val="20"/>
          <w:szCs w:val="20"/>
        </w:rPr>
        <w:t>al</w:t>
      </w:r>
      <w:proofErr w:type="gramEnd"/>
      <w:r>
        <w:rPr>
          <w:rFonts w:ascii="Arial" w:hAnsi="Arial" w:cs="Arial"/>
          <w:sz w:val="20"/>
          <w:szCs w:val="20"/>
        </w:rPr>
        <w:t xml:space="preserve"> [25</w:t>
      </w:r>
      <w:r w:rsidR="00CC7547" w:rsidRPr="004B2EBB">
        <w:rPr>
          <w:rFonts w:ascii="Arial" w:hAnsi="Arial" w:cs="Arial"/>
          <w:sz w:val="20"/>
          <w:szCs w:val="20"/>
        </w:rPr>
        <w:t xml:space="preserve">] have also found a way to prevent the detection of mismatched hybrids (or </w:t>
      </w:r>
      <w:proofErr w:type="spellStart"/>
      <w:r w:rsidR="00CC7547" w:rsidRPr="004B2EBB">
        <w:rPr>
          <w:rFonts w:ascii="Arial" w:hAnsi="Arial" w:cs="Arial"/>
          <w:sz w:val="20"/>
          <w:szCs w:val="20"/>
        </w:rPr>
        <w:t>ds’DNA</w:t>
      </w:r>
      <w:proofErr w:type="spellEnd"/>
      <w:r w:rsidR="00CC7547" w:rsidRPr="004B2EBB">
        <w:rPr>
          <w:rFonts w:ascii="Arial" w:hAnsi="Arial" w:cs="Arial"/>
          <w:sz w:val="20"/>
          <w:szCs w:val="20"/>
        </w:rPr>
        <w:t>)</w:t>
      </w:r>
      <w:r w:rsidR="00D634B6" w:rsidRPr="004B2EBB">
        <w:rPr>
          <w:rFonts w:ascii="Arial" w:hAnsi="Arial" w:cs="Arial"/>
          <w:sz w:val="20"/>
          <w:szCs w:val="20"/>
        </w:rPr>
        <w:t xml:space="preserve">.  Dissociation of the hybrid occurs after several minutes, by dissociation of </w:t>
      </w:r>
      <w:proofErr w:type="spellStart"/>
      <w:r w:rsidR="00D634B6" w:rsidRPr="004B2EBB">
        <w:rPr>
          <w:rFonts w:ascii="Arial" w:hAnsi="Arial" w:cs="Arial"/>
          <w:sz w:val="20"/>
          <w:szCs w:val="20"/>
        </w:rPr>
        <w:t>ds’DNA</w:t>
      </w:r>
      <w:proofErr w:type="spellEnd"/>
      <w:r w:rsidR="00D634B6" w:rsidRPr="004B2EBB">
        <w:rPr>
          <w:rFonts w:ascii="Arial" w:hAnsi="Arial" w:cs="Arial"/>
          <w:sz w:val="20"/>
          <w:szCs w:val="20"/>
        </w:rPr>
        <w:t xml:space="preserve"> occurs more quickly </w:t>
      </w:r>
      <w:r w:rsidR="00D634B6" w:rsidRPr="004B2EBB">
        <w:rPr>
          <w:rFonts w:ascii="Arial" w:hAnsi="Arial" w:cs="Arial"/>
          <w:sz w:val="20"/>
          <w:szCs w:val="20"/>
        </w:rPr>
        <w:lastRenderedPageBreak/>
        <w:t xml:space="preserve">than </w:t>
      </w:r>
      <w:proofErr w:type="spellStart"/>
      <w:r w:rsidR="00D634B6" w:rsidRPr="004B2EBB">
        <w:rPr>
          <w:rFonts w:ascii="Arial" w:hAnsi="Arial" w:cs="Arial"/>
          <w:sz w:val="20"/>
          <w:szCs w:val="20"/>
        </w:rPr>
        <w:t>dsDNA</w:t>
      </w:r>
      <w:proofErr w:type="spellEnd"/>
      <w:r w:rsidR="00D634B6" w:rsidRPr="004B2EBB">
        <w:rPr>
          <w:rFonts w:ascii="Arial" w:hAnsi="Arial" w:cs="Arial"/>
          <w:sz w:val="20"/>
          <w:szCs w:val="20"/>
        </w:rPr>
        <w:t xml:space="preserve">.  Waiting an extra two minutes after the hybridization reaction allows for dissociation of the </w:t>
      </w:r>
      <w:proofErr w:type="spellStart"/>
      <w:r w:rsidR="00D634B6" w:rsidRPr="004B2EBB">
        <w:rPr>
          <w:rFonts w:ascii="Arial" w:hAnsi="Arial" w:cs="Arial"/>
          <w:sz w:val="20"/>
          <w:szCs w:val="20"/>
        </w:rPr>
        <w:t>ds’DNA</w:t>
      </w:r>
      <w:proofErr w:type="spellEnd"/>
      <w:r w:rsidR="00D634B6" w:rsidRPr="004B2EBB">
        <w:rPr>
          <w:rFonts w:ascii="Arial" w:hAnsi="Arial" w:cs="Arial"/>
          <w:sz w:val="20"/>
          <w:szCs w:val="20"/>
        </w:rPr>
        <w:t xml:space="preserve"> while the </w:t>
      </w:r>
      <w:proofErr w:type="spellStart"/>
      <w:r w:rsidR="00D634B6" w:rsidRPr="004B2EBB">
        <w:rPr>
          <w:rFonts w:ascii="Arial" w:hAnsi="Arial" w:cs="Arial"/>
          <w:sz w:val="20"/>
          <w:szCs w:val="20"/>
        </w:rPr>
        <w:t>dsDNA</w:t>
      </w:r>
      <w:proofErr w:type="spellEnd"/>
      <w:r w:rsidR="00D634B6" w:rsidRPr="004B2EBB">
        <w:rPr>
          <w:rFonts w:ascii="Arial" w:hAnsi="Arial" w:cs="Arial"/>
          <w:sz w:val="20"/>
          <w:szCs w:val="20"/>
        </w:rPr>
        <w:t xml:space="preserve"> remains bound.</w:t>
      </w:r>
    </w:p>
    <w:p w:rsidR="003E3FAC" w:rsidRPr="004B2EBB" w:rsidRDefault="003E3FAC" w:rsidP="00231EAA">
      <w:pPr>
        <w:spacing w:after="0" w:line="480" w:lineRule="auto"/>
        <w:rPr>
          <w:rFonts w:ascii="Arial" w:hAnsi="Arial" w:cs="Arial"/>
          <w:sz w:val="20"/>
          <w:szCs w:val="20"/>
        </w:rPr>
      </w:pPr>
      <w:r w:rsidRPr="004B2EBB">
        <w:rPr>
          <w:rFonts w:ascii="Arial" w:hAnsi="Arial" w:cs="Arial"/>
          <w:sz w:val="20"/>
          <w:szCs w:val="20"/>
        </w:rPr>
        <w:tab/>
        <w:t xml:space="preserve">If the mutated mRNA was present in the purified sample, </w:t>
      </w:r>
      <w:proofErr w:type="spellStart"/>
      <w:r w:rsidRPr="004B2EBB">
        <w:rPr>
          <w:rFonts w:ascii="Arial" w:hAnsi="Arial" w:cs="Arial"/>
          <w:sz w:val="20"/>
          <w:szCs w:val="20"/>
        </w:rPr>
        <w:t>dsDNA</w:t>
      </w:r>
      <w:proofErr w:type="spellEnd"/>
      <w:r w:rsidRPr="004B2EBB">
        <w:rPr>
          <w:rFonts w:ascii="Arial" w:hAnsi="Arial" w:cs="Arial"/>
          <w:sz w:val="20"/>
          <w:szCs w:val="20"/>
        </w:rPr>
        <w:t xml:space="preserve"> will be created during the hybridization reaction.  If no mutated mRNA was present, the other genetic material present in the elution will fail to bind to the complementary </w:t>
      </w:r>
      <w:proofErr w:type="spellStart"/>
      <w:r w:rsidRPr="004B2EBB">
        <w:rPr>
          <w:rFonts w:ascii="Arial" w:hAnsi="Arial" w:cs="Arial"/>
          <w:sz w:val="20"/>
          <w:szCs w:val="20"/>
        </w:rPr>
        <w:t>ssDNA</w:t>
      </w:r>
      <w:proofErr w:type="spellEnd"/>
      <w:r w:rsidRPr="004B2EBB">
        <w:rPr>
          <w:rFonts w:ascii="Arial" w:hAnsi="Arial" w:cs="Arial"/>
          <w:sz w:val="20"/>
          <w:szCs w:val="20"/>
        </w:rPr>
        <w:t xml:space="preserve">.  As a result, a sample lacking the mutated mRNA will produce only </w:t>
      </w:r>
      <w:proofErr w:type="spellStart"/>
      <w:r w:rsidRPr="004B2EBB">
        <w:rPr>
          <w:rFonts w:ascii="Arial" w:hAnsi="Arial" w:cs="Arial"/>
          <w:sz w:val="20"/>
          <w:szCs w:val="20"/>
        </w:rPr>
        <w:t>ssDNA</w:t>
      </w:r>
      <w:proofErr w:type="spellEnd"/>
      <w:r w:rsidRPr="004B2EBB">
        <w:rPr>
          <w:rFonts w:ascii="Arial" w:hAnsi="Arial" w:cs="Arial"/>
          <w:sz w:val="20"/>
          <w:szCs w:val="20"/>
        </w:rPr>
        <w:t xml:space="preserve"> after the hybridization step.</w:t>
      </w:r>
    </w:p>
    <w:p w:rsidR="000668A6" w:rsidRDefault="000668A6" w:rsidP="00231EAA">
      <w:pPr>
        <w:spacing w:after="0" w:line="480" w:lineRule="auto"/>
        <w:rPr>
          <w:rFonts w:ascii="Arial" w:hAnsi="Arial" w:cs="Arial"/>
          <w:i/>
          <w:sz w:val="20"/>
          <w:szCs w:val="20"/>
        </w:rPr>
      </w:pPr>
    </w:p>
    <w:p w:rsidR="00E260F3" w:rsidRPr="004B2EBB" w:rsidRDefault="00E260F3" w:rsidP="00231EAA">
      <w:pPr>
        <w:spacing w:after="0" w:line="480" w:lineRule="auto"/>
        <w:rPr>
          <w:rFonts w:ascii="Arial" w:hAnsi="Arial" w:cs="Arial"/>
          <w:i/>
          <w:sz w:val="20"/>
          <w:szCs w:val="20"/>
        </w:rPr>
      </w:pPr>
      <w:r w:rsidRPr="004B2EBB">
        <w:rPr>
          <w:rFonts w:ascii="Arial" w:hAnsi="Arial" w:cs="Arial"/>
          <w:i/>
          <w:sz w:val="20"/>
          <w:szCs w:val="20"/>
        </w:rPr>
        <w:t>Addition of colloid</w:t>
      </w:r>
      <w:r w:rsidR="00AA5AF1" w:rsidRPr="004B2EBB">
        <w:rPr>
          <w:rFonts w:ascii="Arial" w:hAnsi="Arial" w:cs="Arial"/>
          <w:i/>
          <w:sz w:val="20"/>
          <w:szCs w:val="20"/>
        </w:rPr>
        <w:t>al gold solution</w:t>
      </w:r>
    </w:p>
    <w:p w:rsidR="00394D5B" w:rsidRPr="004B2EBB" w:rsidRDefault="003E3FAC" w:rsidP="00231EAA">
      <w:pPr>
        <w:spacing w:after="0" w:line="480" w:lineRule="auto"/>
        <w:rPr>
          <w:rFonts w:ascii="Arial" w:hAnsi="Arial" w:cs="Arial"/>
          <w:sz w:val="20"/>
          <w:szCs w:val="20"/>
        </w:rPr>
      </w:pPr>
      <w:r w:rsidRPr="004B2EBB">
        <w:rPr>
          <w:rFonts w:ascii="Arial" w:hAnsi="Arial" w:cs="Arial"/>
          <w:sz w:val="20"/>
          <w:szCs w:val="20"/>
        </w:rPr>
        <w:tab/>
        <w:t>The transduction method</w:t>
      </w:r>
      <w:r w:rsidR="00E77E48" w:rsidRPr="004B2EBB">
        <w:rPr>
          <w:rFonts w:ascii="Arial" w:hAnsi="Arial" w:cs="Arial"/>
          <w:sz w:val="20"/>
          <w:szCs w:val="20"/>
        </w:rPr>
        <w:t xml:space="preserve"> of the device relies solely on whether </w:t>
      </w:r>
      <w:proofErr w:type="spellStart"/>
      <w:r w:rsidR="00E77E48" w:rsidRPr="004B2EBB">
        <w:rPr>
          <w:rFonts w:ascii="Arial" w:hAnsi="Arial" w:cs="Arial"/>
          <w:sz w:val="20"/>
          <w:szCs w:val="20"/>
        </w:rPr>
        <w:t>ssDNA</w:t>
      </w:r>
      <w:proofErr w:type="spellEnd"/>
      <w:r w:rsidR="00E77E48" w:rsidRPr="004B2EBB">
        <w:rPr>
          <w:rFonts w:ascii="Arial" w:hAnsi="Arial" w:cs="Arial"/>
          <w:sz w:val="20"/>
          <w:szCs w:val="20"/>
        </w:rPr>
        <w:t xml:space="preserve"> or the hybridized </w:t>
      </w:r>
      <w:proofErr w:type="spellStart"/>
      <w:r w:rsidR="00E77E48" w:rsidRPr="004B2EBB">
        <w:rPr>
          <w:rFonts w:ascii="Arial" w:hAnsi="Arial" w:cs="Arial"/>
          <w:sz w:val="20"/>
          <w:szCs w:val="20"/>
        </w:rPr>
        <w:t>dsDNA</w:t>
      </w:r>
      <w:proofErr w:type="spellEnd"/>
      <w:r w:rsidR="00E77E48" w:rsidRPr="004B2EBB">
        <w:rPr>
          <w:rFonts w:ascii="Arial" w:hAnsi="Arial" w:cs="Arial"/>
          <w:sz w:val="20"/>
          <w:szCs w:val="20"/>
        </w:rPr>
        <w:t xml:space="preserve"> is present in the sample.  After hybridization and dissociation of any </w:t>
      </w:r>
      <w:proofErr w:type="spellStart"/>
      <w:r w:rsidR="00E77E48" w:rsidRPr="004B2EBB">
        <w:rPr>
          <w:rFonts w:ascii="Arial" w:hAnsi="Arial" w:cs="Arial"/>
          <w:sz w:val="20"/>
          <w:szCs w:val="20"/>
        </w:rPr>
        <w:t>ds’DNA</w:t>
      </w:r>
      <w:proofErr w:type="spellEnd"/>
      <w:r w:rsidR="00E77E48" w:rsidRPr="004B2EBB">
        <w:rPr>
          <w:rFonts w:ascii="Arial" w:hAnsi="Arial" w:cs="Arial"/>
          <w:sz w:val="20"/>
          <w:szCs w:val="20"/>
        </w:rPr>
        <w:t xml:space="preserve">, </w:t>
      </w:r>
      <w:r w:rsidR="00AA5AF1" w:rsidRPr="004B2EBB">
        <w:rPr>
          <w:rFonts w:ascii="Arial" w:hAnsi="Arial" w:cs="Arial"/>
          <w:sz w:val="20"/>
          <w:szCs w:val="20"/>
        </w:rPr>
        <w:t xml:space="preserve">the colloidal gold nanoparticle solution is added to the chamber.  As Li </w:t>
      </w:r>
      <w:proofErr w:type="gramStart"/>
      <w:r w:rsidR="00AA5AF1" w:rsidRPr="004B2EBB">
        <w:rPr>
          <w:rFonts w:ascii="Arial" w:hAnsi="Arial" w:cs="Arial"/>
          <w:sz w:val="20"/>
          <w:szCs w:val="20"/>
        </w:rPr>
        <w:t>et</w:t>
      </w:r>
      <w:proofErr w:type="gramEnd"/>
      <w:r w:rsidR="00AA5AF1" w:rsidRPr="004B2EBB">
        <w:rPr>
          <w:rFonts w:ascii="Arial" w:hAnsi="Arial" w:cs="Arial"/>
          <w:sz w:val="20"/>
          <w:szCs w:val="20"/>
        </w:rPr>
        <w:t xml:space="preserve">. </w:t>
      </w:r>
      <w:proofErr w:type="gramStart"/>
      <w:r w:rsidR="00AA5AF1" w:rsidRPr="004B2EBB">
        <w:rPr>
          <w:rFonts w:ascii="Arial" w:hAnsi="Arial" w:cs="Arial"/>
          <w:sz w:val="20"/>
          <w:szCs w:val="20"/>
        </w:rPr>
        <w:t>al</w:t>
      </w:r>
      <w:proofErr w:type="gramEnd"/>
      <w:r w:rsidR="00AA5AF1" w:rsidRPr="004B2EBB">
        <w:rPr>
          <w:rFonts w:ascii="Arial" w:hAnsi="Arial" w:cs="Arial"/>
          <w:sz w:val="20"/>
          <w:szCs w:val="20"/>
        </w:rPr>
        <w:t xml:space="preserve"> [</w:t>
      </w:r>
      <w:r w:rsidR="005A3470">
        <w:rPr>
          <w:rFonts w:ascii="Arial" w:hAnsi="Arial" w:cs="Arial"/>
          <w:sz w:val="20"/>
          <w:szCs w:val="20"/>
        </w:rPr>
        <w:t>25</w:t>
      </w:r>
      <w:r w:rsidR="00AA5AF1" w:rsidRPr="004B2EBB">
        <w:rPr>
          <w:rFonts w:ascii="Arial" w:hAnsi="Arial" w:cs="Arial"/>
          <w:sz w:val="20"/>
          <w:szCs w:val="20"/>
        </w:rPr>
        <w:t xml:space="preserve">] have discovered, </w:t>
      </w:r>
      <w:proofErr w:type="spellStart"/>
      <w:r w:rsidR="00AA5AF1" w:rsidRPr="004B2EBB">
        <w:rPr>
          <w:rFonts w:ascii="Arial" w:hAnsi="Arial" w:cs="Arial"/>
          <w:sz w:val="20"/>
          <w:szCs w:val="20"/>
        </w:rPr>
        <w:t>ssDNA</w:t>
      </w:r>
      <w:proofErr w:type="spellEnd"/>
      <w:r w:rsidR="00AA5AF1" w:rsidRPr="004B2EBB">
        <w:rPr>
          <w:rFonts w:ascii="Arial" w:hAnsi="Arial" w:cs="Arial"/>
          <w:sz w:val="20"/>
          <w:szCs w:val="20"/>
        </w:rPr>
        <w:t xml:space="preserve"> and </w:t>
      </w:r>
      <w:proofErr w:type="spellStart"/>
      <w:r w:rsidR="00AA5AF1" w:rsidRPr="004B2EBB">
        <w:rPr>
          <w:rFonts w:ascii="Arial" w:hAnsi="Arial" w:cs="Arial"/>
          <w:sz w:val="20"/>
          <w:szCs w:val="20"/>
        </w:rPr>
        <w:t>dsDNA</w:t>
      </w:r>
      <w:proofErr w:type="spellEnd"/>
      <w:r w:rsidR="00AA5AF1" w:rsidRPr="004B2EBB">
        <w:rPr>
          <w:rFonts w:ascii="Arial" w:hAnsi="Arial" w:cs="Arial"/>
          <w:sz w:val="20"/>
          <w:szCs w:val="20"/>
        </w:rPr>
        <w:t xml:space="preserve"> have different electrostatic </w:t>
      </w:r>
      <w:r w:rsidR="006A3414" w:rsidRPr="004B2EBB">
        <w:rPr>
          <w:rFonts w:ascii="Arial" w:hAnsi="Arial" w:cs="Arial"/>
          <w:sz w:val="20"/>
          <w:szCs w:val="20"/>
        </w:rPr>
        <w:t>interactions with</w:t>
      </w:r>
      <w:r w:rsidR="00AA5AF1" w:rsidRPr="004B2EBB">
        <w:rPr>
          <w:rFonts w:ascii="Arial" w:hAnsi="Arial" w:cs="Arial"/>
          <w:sz w:val="20"/>
          <w:szCs w:val="20"/>
        </w:rPr>
        <w:t xml:space="preserve"> </w:t>
      </w:r>
      <w:r w:rsidR="006A3414" w:rsidRPr="004B2EBB">
        <w:rPr>
          <w:rFonts w:ascii="Arial" w:hAnsi="Arial" w:cs="Arial"/>
          <w:sz w:val="20"/>
          <w:szCs w:val="20"/>
        </w:rPr>
        <w:t>g</w:t>
      </w:r>
      <w:r w:rsidR="00AA5AF1" w:rsidRPr="004B2EBB">
        <w:rPr>
          <w:rFonts w:ascii="Arial" w:hAnsi="Arial" w:cs="Arial"/>
          <w:sz w:val="20"/>
          <w:szCs w:val="20"/>
        </w:rPr>
        <w:t>old nanoparticles.</w:t>
      </w:r>
      <w:r w:rsidR="002E6081" w:rsidRPr="004B2EBB">
        <w:rPr>
          <w:rFonts w:ascii="Arial" w:hAnsi="Arial" w:cs="Arial"/>
          <w:sz w:val="20"/>
          <w:szCs w:val="20"/>
        </w:rPr>
        <w:t xml:space="preserve">  The </w:t>
      </w:r>
      <w:proofErr w:type="spellStart"/>
      <w:r w:rsidR="002E6081" w:rsidRPr="004B2EBB">
        <w:rPr>
          <w:rFonts w:ascii="Arial" w:hAnsi="Arial" w:cs="Arial"/>
          <w:sz w:val="20"/>
          <w:szCs w:val="20"/>
        </w:rPr>
        <w:t>ssDNA</w:t>
      </w:r>
      <w:proofErr w:type="spellEnd"/>
      <w:r w:rsidR="002E6081" w:rsidRPr="004B2EBB">
        <w:rPr>
          <w:rFonts w:ascii="Arial" w:hAnsi="Arial" w:cs="Arial"/>
          <w:sz w:val="20"/>
          <w:szCs w:val="20"/>
        </w:rPr>
        <w:t xml:space="preserve"> can present a side of unbound nucleotides</w:t>
      </w:r>
      <w:r w:rsidR="00406E00" w:rsidRPr="004B2EBB">
        <w:rPr>
          <w:rFonts w:ascii="Arial" w:hAnsi="Arial" w:cs="Arial"/>
          <w:sz w:val="20"/>
          <w:szCs w:val="20"/>
        </w:rPr>
        <w:t>;</w:t>
      </w:r>
      <w:r w:rsidR="002E6081" w:rsidRPr="004B2EBB">
        <w:rPr>
          <w:rFonts w:ascii="Arial" w:hAnsi="Arial" w:cs="Arial"/>
          <w:sz w:val="20"/>
          <w:szCs w:val="20"/>
        </w:rPr>
        <w:t xml:space="preserve"> </w:t>
      </w:r>
      <w:r w:rsidR="00406E00" w:rsidRPr="004B2EBB">
        <w:rPr>
          <w:rFonts w:ascii="Arial" w:hAnsi="Arial" w:cs="Arial"/>
          <w:sz w:val="20"/>
          <w:szCs w:val="20"/>
        </w:rPr>
        <w:t>t</w:t>
      </w:r>
      <w:r w:rsidR="002E6081" w:rsidRPr="004B2EBB">
        <w:rPr>
          <w:rFonts w:ascii="Arial" w:hAnsi="Arial" w:cs="Arial"/>
          <w:sz w:val="20"/>
          <w:szCs w:val="20"/>
        </w:rPr>
        <w:t xml:space="preserve">his causes the </w:t>
      </w:r>
      <w:proofErr w:type="spellStart"/>
      <w:r w:rsidR="002E6081" w:rsidRPr="004B2EBB">
        <w:rPr>
          <w:rFonts w:ascii="Arial" w:hAnsi="Arial" w:cs="Arial"/>
          <w:sz w:val="20"/>
          <w:szCs w:val="20"/>
        </w:rPr>
        <w:t>ssDNA</w:t>
      </w:r>
      <w:proofErr w:type="spellEnd"/>
      <w:r w:rsidR="002E6081" w:rsidRPr="004B2EBB">
        <w:rPr>
          <w:rFonts w:ascii="Arial" w:hAnsi="Arial" w:cs="Arial"/>
          <w:sz w:val="20"/>
          <w:szCs w:val="20"/>
        </w:rPr>
        <w:t xml:space="preserve"> molecules</w:t>
      </w:r>
      <w:r w:rsidR="00406E00" w:rsidRPr="004B2EBB">
        <w:rPr>
          <w:rFonts w:ascii="Arial" w:hAnsi="Arial" w:cs="Arial"/>
          <w:sz w:val="20"/>
          <w:szCs w:val="20"/>
        </w:rPr>
        <w:t xml:space="preserve"> to stick electrostatically to the nanoparticles.</w:t>
      </w:r>
      <w:r w:rsidR="003058C1" w:rsidRPr="004B2EBB">
        <w:rPr>
          <w:rFonts w:ascii="Arial" w:hAnsi="Arial" w:cs="Arial"/>
          <w:sz w:val="20"/>
          <w:szCs w:val="20"/>
        </w:rPr>
        <w:t xml:space="preserve">  In contrast, t</w:t>
      </w:r>
      <w:r w:rsidR="006A3414" w:rsidRPr="004B2EBB">
        <w:rPr>
          <w:rFonts w:ascii="Arial" w:hAnsi="Arial" w:cs="Arial"/>
          <w:sz w:val="20"/>
          <w:szCs w:val="20"/>
        </w:rPr>
        <w:t xml:space="preserve">he </w:t>
      </w:r>
      <w:proofErr w:type="spellStart"/>
      <w:r w:rsidR="006A3414" w:rsidRPr="004B2EBB">
        <w:rPr>
          <w:rFonts w:ascii="Arial" w:hAnsi="Arial" w:cs="Arial"/>
          <w:sz w:val="20"/>
          <w:szCs w:val="20"/>
        </w:rPr>
        <w:t>dsDNA</w:t>
      </w:r>
      <w:proofErr w:type="spellEnd"/>
      <w:r w:rsidR="006A3414" w:rsidRPr="004B2EBB">
        <w:rPr>
          <w:rFonts w:ascii="Arial" w:hAnsi="Arial" w:cs="Arial"/>
          <w:sz w:val="20"/>
          <w:szCs w:val="20"/>
        </w:rPr>
        <w:t xml:space="preserve"> is encased in a negatively charged phosphate-sugar backbone</w:t>
      </w:r>
      <w:r w:rsidR="00B03731" w:rsidRPr="004B2EBB">
        <w:rPr>
          <w:rFonts w:ascii="Arial" w:hAnsi="Arial" w:cs="Arial"/>
          <w:sz w:val="20"/>
          <w:szCs w:val="20"/>
        </w:rPr>
        <w:t>.</w:t>
      </w:r>
      <w:r w:rsidR="001A12ED" w:rsidRPr="004B2EBB">
        <w:rPr>
          <w:rFonts w:ascii="Arial" w:hAnsi="Arial" w:cs="Arial"/>
          <w:sz w:val="20"/>
          <w:szCs w:val="20"/>
        </w:rPr>
        <w:t xml:space="preserve">  As a result, few </w:t>
      </w:r>
      <w:proofErr w:type="spellStart"/>
      <w:r w:rsidR="001A12ED" w:rsidRPr="004B2EBB">
        <w:rPr>
          <w:rFonts w:ascii="Arial" w:hAnsi="Arial" w:cs="Arial"/>
          <w:sz w:val="20"/>
          <w:szCs w:val="20"/>
        </w:rPr>
        <w:t>dsDNA</w:t>
      </w:r>
      <w:proofErr w:type="spellEnd"/>
      <w:r w:rsidR="001A12ED" w:rsidRPr="004B2EBB">
        <w:rPr>
          <w:rFonts w:ascii="Arial" w:hAnsi="Arial" w:cs="Arial"/>
          <w:sz w:val="20"/>
          <w:szCs w:val="20"/>
        </w:rPr>
        <w:t xml:space="preserve"> molecules will</w:t>
      </w:r>
      <w:r w:rsidR="003058C1" w:rsidRPr="004B2EBB">
        <w:rPr>
          <w:rFonts w:ascii="Arial" w:hAnsi="Arial" w:cs="Arial"/>
          <w:sz w:val="20"/>
          <w:szCs w:val="20"/>
        </w:rPr>
        <w:t xml:space="preserve"> attach electrostatically to the nanoparticles.</w:t>
      </w:r>
      <w:r w:rsidR="00394D5B" w:rsidRPr="004B2EBB">
        <w:rPr>
          <w:rFonts w:ascii="Arial" w:hAnsi="Arial" w:cs="Arial"/>
          <w:sz w:val="20"/>
          <w:szCs w:val="20"/>
        </w:rPr>
        <w:t xml:space="preserve">  </w:t>
      </w:r>
    </w:p>
    <w:p w:rsidR="0019748E" w:rsidRDefault="00394D5B" w:rsidP="00401DEA">
      <w:pPr>
        <w:spacing w:after="0" w:line="480" w:lineRule="auto"/>
        <w:ind w:firstLine="720"/>
        <w:rPr>
          <w:rFonts w:ascii="Arial" w:hAnsi="Arial" w:cs="Arial"/>
          <w:sz w:val="20"/>
          <w:szCs w:val="20"/>
        </w:rPr>
      </w:pPr>
      <w:r w:rsidRPr="004B2EBB">
        <w:rPr>
          <w:rFonts w:ascii="Arial" w:hAnsi="Arial" w:cs="Arial"/>
          <w:sz w:val="20"/>
          <w:szCs w:val="20"/>
        </w:rPr>
        <w:t xml:space="preserve">The addition of a salt solution to a gold nanoparticle </w:t>
      </w:r>
      <w:r w:rsidR="00AC7498" w:rsidRPr="004B2EBB">
        <w:rPr>
          <w:rFonts w:ascii="Arial" w:hAnsi="Arial" w:cs="Arial"/>
          <w:sz w:val="20"/>
          <w:szCs w:val="20"/>
        </w:rPr>
        <w:t>colloid</w:t>
      </w:r>
      <w:r w:rsidRPr="004B2EBB">
        <w:rPr>
          <w:rFonts w:ascii="Arial" w:hAnsi="Arial" w:cs="Arial"/>
          <w:sz w:val="20"/>
          <w:szCs w:val="20"/>
        </w:rPr>
        <w:t xml:space="preserve"> causes the particles to aggregate; as the color of gold colloidal solutions is dependent on particle size, this aggregation changes the color of the solution.</w:t>
      </w:r>
      <w:r w:rsidR="00C02CCC" w:rsidRPr="004B2EBB">
        <w:rPr>
          <w:rFonts w:ascii="Arial" w:hAnsi="Arial" w:cs="Arial"/>
          <w:sz w:val="20"/>
          <w:szCs w:val="20"/>
        </w:rPr>
        <w:t xml:space="preserve">  However, </w:t>
      </w:r>
      <w:proofErr w:type="spellStart"/>
      <w:r w:rsidR="00C02CCC" w:rsidRPr="004B2EBB">
        <w:rPr>
          <w:rFonts w:ascii="Arial" w:hAnsi="Arial" w:cs="Arial"/>
          <w:sz w:val="20"/>
          <w:szCs w:val="20"/>
        </w:rPr>
        <w:t>ssDNA</w:t>
      </w:r>
      <w:proofErr w:type="spellEnd"/>
      <w:r w:rsidR="00C02CCC" w:rsidRPr="004B2EBB">
        <w:rPr>
          <w:rFonts w:ascii="Arial" w:hAnsi="Arial" w:cs="Arial"/>
          <w:sz w:val="20"/>
          <w:szCs w:val="20"/>
        </w:rPr>
        <w:t xml:space="preserve"> electrostatically </w:t>
      </w:r>
      <w:r w:rsidR="00E02BC7" w:rsidRPr="004B2EBB">
        <w:rPr>
          <w:rFonts w:ascii="Arial" w:hAnsi="Arial" w:cs="Arial"/>
          <w:sz w:val="20"/>
          <w:szCs w:val="20"/>
        </w:rPr>
        <w:t>attracted</w:t>
      </w:r>
      <w:r w:rsidR="00C02CCC" w:rsidRPr="004B2EBB">
        <w:rPr>
          <w:rFonts w:ascii="Arial" w:hAnsi="Arial" w:cs="Arial"/>
          <w:sz w:val="20"/>
          <w:szCs w:val="20"/>
        </w:rPr>
        <w:t xml:space="preserve"> to the gold nanoparticles act to negate the attractive forces presented by the salt solution.  As a result, a colloidal gold solution with </w:t>
      </w:r>
      <w:proofErr w:type="spellStart"/>
      <w:r w:rsidR="00C02CCC" w:rsidRPr="004B2EBB">
        <w:rPr>
          <w:rFonts w:ascii="Arial" w:hAnsi="Arial" w:cs="Arial"/>
          <w:sz w:val="20"/>
          <w:szCs w:val="20"/>
        </w:rPr>
        <w:t>ssDNA</w:t>
      </w:r>
      <w:proofErr w:type="spellEnd"/>
      <w:r w:rsidR="00C02CCC" w:rsidRPr="004B2EBB">
        <w:rPr>
          <w:rFonts w:ascii="Arial" w:hAnsi="Arial" w:cs="Arial"/>
          <w:sz w:val="20"/>
          <w:szCs w:val="20"/>
        </w:rPr>
        <w:t xml:space="preserve"> will not change color upon the addition of salt solution.</w:t>
      </w:r>
      <w:r w:rsidR="00E263FB" w:rsidRPr="004B2EBB">
        <w:rPr>
          <w:rFonts w:ascii="Arial" w:hAnsi="Arial" w:cs="Arial"/>
          <w:sz w:val="20"/>
          <w:szCs w:val="20"/>
        </w:rPr>
        <w:t xml:space="preserve">  However, no such electrostatic barriers exist for the particles if only </w:t>
      </w:r>
      <w:proofErr w:type="spellStart"/>
      <w:r w:rsidR="00E263FB" w:rsidRPr="004B2EBB">
        <w:rPr>
          <w:rFonts w:ascii="Arial" w:hAnsi="Arial" w:cs="Arial"/>
          <w:sz w:val="20"/>
          <w:szCs w:val="20"/>
        </w:rPr>
        <w:t>dsDNA</w:t>
      </w:r>
      <w:proofErr w:type="spellEnd"/>
      <w:r w:rsidR="00E263FB" w:rsidRPr="004B2EBB">
        <w:rPr>
          <w:rFonts w:ascii="Arial" w:hAnsi="Arial" w:cs="Arial"/>
          <w:sz w:val="20"/>
          <w:szCs w:val="20"/>
        </w:rPr>
        <w:t xml:space="preserve"> is present in the sample, and the solution will change color upo</w:t>
      </w:r>
      <w:r w:rsidR="004E6BE0" w:rsidRPr="004B2EBB">
        <w:rPr>
          <w:rFonts w:ascii="Arial" w:hAnsi="Arial" w:cs="Arial"/>
          <w:sz w:val="20"/>
          <w:szCs w:val="20"/>
        </w:rPr>
        <w:t>n the addition of salt solution (</w:t>
      </w:r>
      <w:r w:rsidR="00CA0AB5">
        <w:rPr>
          <w:rFonts w:ascii="Arial" w:hAnsi="Arial" w:cs="Arial"/>
          <w:sz w:val="20"/>
          <w:szCs w:val="20"/>
        </w:rPr>
        <w:t>Figure 4</w:t>
      </w:r>
      <w:r w:rsidR="004E6BE0" w:rsidRPr="004B2EBB">
        <w:rPr>
          <w:rFonts w:ascii="Arial" w:hAnsi="Arial" w:cs="Arial"/>
          <w:sz w:val="20"/>
          <w:szCs w:val="20"/>
        </w:rPr>
        <w:t>).</w:t>
      </w:r>
      <w:r w:rsidR="00D52CF9" w:rsidRPr="004B2EBB">
        <w:rPr>
          <w:rFonts w:ascii="Arial" w:hAnsi="Arial" w:cs="Arial"/>
          <w:sz w:val="20"/>
          <w:szCs w:val="20"/>
        </w:rPr>
        <w:t xml:space="preserve">  This change in color which is visible in 5 µL down to 100 </w:t>
      </w:r>
      <w:proofErr w:type="spellStart"/>
      <w:r w:rsidR="00D52CF9" w:rsidRPr="004B2EBB">
        <w:rPr>
          <w:rFonts w:ascii="Arial" w:hAnsi="Arial" w:cs="Arial"/>
          <w:sz w:val="20"/>
          <w:szCs w:val="20"/>
        </w:rPr>
        <w:t>fmol</w:t>
      </w:r>
      <w:proofErr w:type="spellEnd"/>
      <w:r w:rsidR="00D52CF9" w:rsidRPr="004B2EBB">
        <w:rPr>
          <w:rFonts w:ascii="Arial" w:hAnsi="Arial" w:cs="Arial"/>
          <w:sz w:val="20"/>
          <w:szCs w:val="20"/>
        </w:rPr>
        <w:t xml:space="preserve"> of DNA present in the sample can be used to detect the presence of the EGFR mutation without the use of optical instrumentation.</w:t>
      </w:r>
    </w:p>
    <w:p w:rsidR="00CA0AB5" w:rsidRDefault="00CA0AB5" w:rsidP="00CA0AB5">
      <w:pPr>
        <w:spacing w:after="0" w:line="480" w:lineRule="auto"/>
        <w:ind w:firstLine="720"/>
        <w:jc w:val="center"/>
        <w:rPr>
          <w:rFonts w:ascii="Arial" w:hAnsi="Arial" w:cs="Arial"/>
          <w:sz w:val="20"/>
          <w:szCs w:val="20"/>
        </w:rPr>
      </w:pPr>
      <w:r w:rsidRPr="004B2EBB">
        <w:rPr>
          <w:rFonts w:ascii="Arial" w:hAnsi="Arial" w:cs="Arial"/>
          <w:noProof/>
          <w:sz w:val="20"/>
          <w:szCs w:val="20"/>
        </w:rPr>
        <w:lastRenderedPageBreak/>
        <w:drawing>
          <wp:inline distT="0" distB="0" distL="0" distR="0" wp14:anchorId="210BA646" wp14:editId="56F6A09F">
            <wp:extent cx="2340951" cy="29622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2949" cy="2964804"/>
                    </a:xfrm>
                    <a:prstGeom prst="rect">
                      <a:avLst/>
                    </a:prstGeom>
                  </pic:spPr>
                </pic:pic>
              </a:graphicData>
            </a:graphic>
          </wp:inline>
        </w:drawing>
      </w:r>
    </w:p>
    <w:p w:rsidR="00CA0AB5" w:rsidRPr="001B36DE" w:rsidRDefault="00CA0AB5" w:rsidP="001B36DE">
      <w:pPr>
        <w:spacing w:line="480" w:lineRule="auto"/>
        <w:ind w:firstLine="720"/>
        <w:jc w:val="center"/>
        <w:rPr>
          <w:rFonts w:ascii="Arial" w:hAnsi="Arial" w:cs="Arial"/>
          <w:b/>
          <w:sz w:val="16"/>
          <w:szCs w:val="16"/>
        </w:rPr>
      </w:pPr>
      <w:r w:rsidRPr="001B36DE">
        <w:rPr>
          <w:rFonts w:ascii="Arial" w:hAnsi="Arial" w:cs="Arial"/>
          <w:b/>
          <w:sz w:val="16"/>
          <w:szCs w:val="16"/>
        </w:rPr>
        <w:t xml:space="preserve">Figure 4: </w:t>
      </w:r>
      <w:r w:rsidR="001B36DE">
        <w:rPr>
          <w:rFonts w:ascii="Arial" w:hAnsi="Arial" w:cs="Arial"/>
          <w:b/>
          <w:sz w:val="16"/>
          <w:szCs w:val="16"/>
        </w:rPr>
        <w:t xml:space="preserve">Color change associated with electrostatic interactions of gold nanoparticles with DNA </w:t>
      </w:r>
      <w:r w:rsidR="005A3470">
        <w:rPr>
          <w:rFonts w:ascii="Arial" w:hAnsi="Arial" w:cs="Arial"/>
          <w:b/>
          <w:sz w:val="16"/>
          <w:szCs w:val="16"/>
        </w:rPr>
        <w:t>[25</w:t>
      </w:r>
      <w:r w:rsidRPr="001B36DE">
        <w:rPr>
          <w:rFonts w:ascii="Arial" w:hAnsi="Arial" w:cs="Arial"/>
          <w:b/>
          <w:sz w:val="16"/>
          <w:szCs w:val="16"/>
        </w:rPr>
        <w:t>].</w:t>
      </w:r>
    </w:p>
    <w:p w:rsidR="004A7BAE" w:rsidRPr="004A7BAE" w:rsidRDefault="004A7BAE" w:rsidP="00231EAA">
      <w:pPr>
        <w:spacing w:after="0" w:line="480" w:lineRule="auto"/>
        <w:rPr>
          <w:rFonts w:ascii="Arial" w:hAnsi="Arial" w:cs="Arial"/>
          <w:b/>
          <w:sz w:val="20"/>
          <w:szCs w:val="20"/>
        </w:rPr>
      </w:pPr>
      <w:r>
        <w:rPr>
          <w:rFonts w:ascii="Arial" w:hAnsi="Arial" w:cs="Arial"/>
          <w:b/>
          <w:sz w:val="20"/>
          <w:szCs w:val="20"/>
        </w:rPr>
        <w:t>TESTING</w:t>
      </w:r>
    </w:p>
    <w:p w:rsidR="00401DEA" w:rsidRPr="004B2EBB" w:rsidRDefault="00401DEA" w:rsidP="00231EAA">
      <w:pPr>
        <w:spacing w:after="0" w:line="480" w:lineRule="auto"/>
        <w:rPr>
          <w:rFonts w:ascii="Arial" w:hAnsi="Arial" w:cs="Arial"/>
          <w:sz w:val="20"/>
          <w:szCs w:val="20"/>
        </w:rPr>
      </w:pPr>
      <w:r w:rsidRPr="004B2EBB">
        <w:rPr>
          <w:rFonts w:ascii="Arial" w:hAnsi="Arial" w:cs="Arial"/>
          <w:sz w:val="20"/>
          <w:szCs w:val="20"/>
        </w:rPr>
        <w:tab/>
        <w:t>The steps taken by the device to diagnose the presence of the EGFR mutation are inherently complex.  Thus, testing of the device will begin with an analysis of each step individually.</w:t>
      </w:r>
    </w:p>
    <w:p w:rsidR="00401DEA" w:rsidRPr="004B2EBB" w:rsidRDefault="00401DEA" w:rsidP="00231EAA">
      <w:pPr>
        <w:spacing w:after="0" w:line="480" w:lineRule="auto"/>
        <w:rPr>
          <w:rFonts w:ascii="Arial" w:hAnsi="Arial" w:cs="Arial"/>
          <w:sz w:val="20"/>
          <w:szCs w:val="20"/>
        </w:rPr>
      </w:pPr>
    </w:p>
    <w:p w:rsidR="00401DEA" w:rsidRPr="004B2EBB" w:rsidRDefault="00401DEA" w:rsidP="00231EAA">
      <w:pPr>
        <w:spacing w:after="0" w:line="480" w:lineRule="auto"/>
        <w:rPr>
          <w:rFonts w:ascii="Arial" w:hAnsi="Arial" w:cs="Arial"/>
          <w:i/>
          <w:sz w:val="20"/>
          <w:szCs w:val="20"/>
        </w:rPr>
      </w:pPr>
      <w:r w:rsidRPr="004B2EBB">
        <w:rPr>
          <w:rFonts w:ascii="Arial" w:hAnsi="Arial" w:cs="Arial"/>
          <w:i/>
          <w:sz w:val="20"/>
          <w:szCs w:val="20"/>
        </w:rPr>
        <w:t>Electrochemical cell lysis</w:t>
      </w:r>
    </w:p>
    <w:p w:rsidR="00401DEA" w:rsidRPr="004B2EBB" w:rsidRDefault="00401DEA" w:rsidP="00231EAA">
      <w:pPr>
        <w:spacing w:after="0" w:line="480" w:lineRule="auto"/>
        <w:rPr>
          <w:rFonts w:ascii="Arial" w:hAnsi="Arial" w:cs="Arial"/>
          <w:sz w:val="20"/>
          <w:szCs w:val="20"/>
        </w:rPr>
      </w:pPr>
      <w:r w:rsidRPr="004B2EBB">
        <w:rPr>
          <w:rFonts w:ascii="Arial" w:hAnsi="Arial" w:cs="Arial"/>
          <w:sz w:val="20"/>
          <w:szCs w:val="20"/>
        </w:rPr>
        <w:tab/>
        <w:t>The question of whether the electrochemical method of lysing cells is effective can be confirmed via microscopic visualization.</w:t>
      </w:r>
      <w:r w:rsidR="005A3470">
        <w:rPr>
          <w:rFonts w:ascii="Arial" w:hAnsi="Arial" w:cs="Arial"/>
          <w:sz w:val="20"/>
          <w:szCs w:val="20"/>
        </w:rPr>
        <w:t xml:space="preserve">  Di Carlo </w:t>
      </w:r>
      <w:proofErr w:type="gramStart"/>
      <w:r w:rsidR="005A3470">
        <w:rPr>
          <w:rFonts w:ascii="Arial" w:hAnsi="Arial" w:cs="Arial"/>
          <w:sz w:val="20"/>
          <w:szCs w:val="20"/>
        </w:rPr>
        <w:t>et</w:t>
      </w:r>
      <w:proofErr w:type="gramEnd"/>
      <w:r w:rsidR="005A3470">
        <w:rPr>
          <w:rFonts w:ascii="Arial" w:hAnsi="Arial" w:cs="Arial"/>
          <w:sz w:val="20"/>
          <w:szCs w:val="20"/>
        </w:rPr>
        <w:t xml:space="preserve">. </w:t>
      </w:r>
      <w:proofErr w:type="gramStart"/>
      <w:r w:rsidR="005A3470">
        <w:rPr>
          <w:rFonts w:ascii="Arial" w:hAnsi="Arial" w:cs="Arial"/>
          <w:sz w:val="20"/>
          <w:szCs w:val="20"/>
        </w:rPr>
        <w:t>al</w:t>
      </w:r>
      <w:proofErr w:type="gramEnd"/>
      <w:r w:rsidR="005A3470">
        <w:rPr>
          <w:rFonts w:ascii="Arial" w:hAnsi="Arial" w:cs="Arial"/>
          <w:sz w:val="20"/>
          <w:szCs w:val="20"/>
        </w:rPr>
        <w:t xml:space="preserve"> [21</w:t>
      </w:r>
      <w:r w:rsidR="009525EE" w:rsidRPr="004B2EBB">
        <w:rPr>
          <w:rFonts w:ascii="Arial" w:hAnsi="Arial" w:cs="Arial"/>
          <w:sz w:val="20"/>
          <w:szCs w:val="20"/>
        </w:rPr>
        <w:t xml:space="preserve">] stained their </w:t>
      </w:r>
      <w:proofErr w:type="spellStart"/>
      <w:r w:rsidR="009525EE" w:rsidRPr="004B2EBB">
        <w:rPr>
          <w:rFonts w:ascii="Arial" w:hAnsi="Arial" w:cs="Arial"/>
          <w:sz w:val="20"/>
          <w:szCs w:val="20"/>
        </w:rPr>
        <w:t>HeLa</w:t>
      </w:r>
      <w:proofErr w:type="spellEnd"/>
      <w:r w:rsidR="009525EE" w:rsidRPr="004B2EBB">
        <w:rPr>
          <w:rFonts w:ascii="Arial" w:hAnsi="Arial" w:cs="Arial"/>
          <w:sz w:val="20"/>
          <w:szCs w:val="20"/>
        </w:rPr>
        <w:t xml:space="preserve"> cells with </w:t>
      </w:r>
      <w:proofErr w:type="spellStart"/>
      <w:r w:rsidR="009525EE" w:rsidRPr="004B2EBB">
        <w:rPr>
          <w:rFonts w:ascii="Arial" w:hAnsi="Arial" w:cs="Arial"/>
          <w:sz w:val="20"/>
          <w:szCs w:val="20"/>
        </w:rPr>
        <w:t>calcein</w:t>
      </w:r>
      <w:proofErr w:type="spellEnd"/>
      <w:r w:rsidR="009525EE" w:rsidRPr="004B2EBB">
        <w:rPr>
          <w:rFonts w:ascii="Arial" w:hAnsi="Arial" w:cs="Arial"/>
          <w:sz w:val="20"/>
          <w:szCs w:val="20"/>
        </w:rPr>
        <w:t xml:space="preserve"> to confirm cell lysis in real time using a fluorescent microscope.</w:t>
      </w:r>
    </w:p>
    <w:p w:rsidR="009B566D" w:rsidRPr="004B2EBB" w:rsidRDefault="009B566D" w:rsidP="00231EAA">
      <w:pPr>
        <w:spacing w:after="0" w:line="480" w:lineRule="auto"/>
        <w:rPr>
          <w:rFonts w:ascii="Arial" w:hAnsi="Arial" w:cs="Arial"/>
          <w:sz w:val="20"/>
          <w:szCs w:val="20"/>
        </w:rPr>
      </w:pPr>
      <w:r w:rsidRPr="004B2EBB">
        <w:rPr>
          <w:rFonts w:ascii="Arial" w:hAnsi="Arial" w:cs="Arial"/>
          <w:sz w:val="20"/>
          <w:szCs w:val="20"/>
        </w:rPr>
        <w:tab/>
        <w:t>The next question is whether the lysed cells present in the sample can contribute a sufficient quantity of genetic material to the analyte.</w:t>
      </w:r>
      <w:r w:rsidR="0010681A" w:rsidRPr="004B2EBB">
        <w:rPr>
          <w:rFonts w:ascii="Arial" w:hAnsi="Arial" w:cs="Arial"/>
          <w:sz w:val="20"/>
          <w:szCs w:val="20"/>
        </w:rPr>
        <w:t xml:space="preserve">  The amount of EGFR mutated mRNA can be quantified by running qPCR on the lysate.  The colloidal gold solution requires at least 100 </w:t>
      </w:r>
      <w:proofErr w:type="spellStart"/>
      <w:r w:rsidR="0010681A" w:rsidRPr="004B2EBB">
        <w:rPr>
          <w:rFonts w:ascii="Arial" w:hAnsi="Arial" w:cs="Arial"/>
          <w:sz w:val="20"/>
          <w:szCs w:val="20"/>
        </w:rPr>
        <w:t>fmol</w:t>
      </w:r>
      <w:proofErr w:type="spellEnd"/>
      <w:r w:rsidR="0010681A" w:rsidRPr="004B2EBB">
        <w:rPr>
          <w:rFonts w:ascii="Arial" w:hAnsi="Arial" w:cs="Arial"/>
          <w:sz w:val="20"/>
          <w:szCs w:val="20"/>
        </w:rPr>
        <w:t xml:space="preserve"> of genetic material to be present to allow for visualization of the color change.</w:t>
      </w:r>
      <w:r w:rsidR="00A93AEC" w:rsidRPr="004B2EBB">
        <w:rPr>
          <w:rFonts w:ascii="Arial" w:hAnsi="Arial" w:cs="Arial"/>
          <w:sz w:val="20"/>
          <w:szCs w:val="20"/>
        </w:rPr>
        <w:t xml:space="preserve">  The quantity given by qPCR can also be used to determine the amount of complementary </w:t>
      </w:r>
      <w:proofErr w:type="spellStart"/>
      <w:r w:rsidR="00A93AEC" w:rsidRPr="004B2EBB">
        <w:rPr>
          <w:rFonts w:ascii="Arial" w:hAnsi="Arial" w:cs="Arial"/>
          <w:sz w:val="20"/>
          <w:szCs w:val="20"/>
        </w:rPr>
        <w:t>ssDNA</w:t>
      </w:r>
      <w:proofErr w:type="spellEnd"/>
      <w:r w:rsidR="00A93AEC" w:rsidRPr="004B2EBB">
        <w:rPr>
          <w:rFonts w:ascii="Arial" w:hAnsi="Arial" w:cs="Arial"/>
          <w:sz w:val="20"/>
          <w:szCs w:val="20"/>
        </w:rPr>
        <w:t xml:space="preserve"> that needs to be added in the hybridization step.</w:t>
      </w:r>
    </w:p>
    <w:p w:rsidR="00A67A4A" w:rsidRPr="004B2EBB" w:rsidRDefault="00A67A4A" w:rsidP="00231EAA">
      <w:pPr>
        <w:spacing w:after="0" w:line="480" w:lineRule="auto"/>
        <w:rPr>
          <w:rFonts w:ascii="Arial" w:hAnsi="Arial" w:cs="Arial"/>
          <w:sz w:val="20"/>
          <w:szCs w:val="20"/>
        </w:rPr>
      </w:pPr>
    </w:p>
    <w:p w:rsidR="000668A6" w:rsidRDefault="000668A6" w:rsidP="00231EAA">
      <w:pPr>
        <w:spacing w:after="0" w:line="480" w:lineRule="auto"/>
        <w:rPr>
          <w:rFonts w:ascii="Arial" w:hAnsi="Arial" w:cs="Arial"/>
          <w:i/>
          <w:sz w:val="20"/>
          <w:szCs w:val="20"/>
        </w:rPr>
      </w:pPr>
    </w:p>
    <w:p w:rsidR="000668A6" w:rsidRDefault="000668A6" w:rsidP="00231EAA">
      <w:pPr>
        <w:spacing w:after="0" w:line="480" w:lineRule="auto"/>
        <w:rPr>
          <w:rFonts w:ascii="Arial" w:hAnsi="Arial" w:cs="Arial"/>
          <w:i/>
          <w:sz w:val="20"/>
          <w:szCs w:val="20"/>
        </w:rPr>
      </w:pPr>
    </w:p>
    <w:p w:rsidR="00A67A4A" w:rsidRPr="004B2EBB" w:rsidRDefault="00A67A4A" w:rsidP="00231EAA">
      <w:pPr>
        <w:spacing w:after="0" w:line="480" w:lineRule="auto"/>
        <w:rPr>
          <w:rFonts w:ascii="Arial" w:hAnsi="Arial" w:cs="Arial"/>
          <w:i/>
          <w:sz w:val="20"/>
          <w:szCs w:val="20"/>
        </w:rPr>
      </w:pPr>
      <w:proofErr w:type="gramStart"/>
      <w:r w:rsidRPr="004B2EBB">
        <w:rPr>
          <w:rFonts w:ascii="Arial" w:hAnsi="Arial" w:cs="Arial"/>
          <w:i/>
          <w:sz w:val="20"/>
          <w:szCs w:val="20"/>
        </w:rPr>
        <w:lastRenderedPageBreak/>
        <w:t>mRNA</w:t>
      </w:r>
      <w:proofErr w:type="gramEnd"/>
      <w:r w:rsidRPr="004B2EBB">
        <w:rPr>
          <w:rFonts w:ascii="Arial" w:hAnsi="Arial" w:cs="Arial"/>
          <w:i/>
          <w:sz w:val="20"/>
          <w:szCs w:val="20"/>
        </w:rPr>
        <w:t xml:space="preserve"> </w:t>
      </w:r>
      <w:proofErr w:type="spellStart"/>
      <w:r w:rsidRPr="004B2EBB">
        <w:rPr>
          <w:rFonts w:ascii="Arial" w:hAnsi="Arial" w:cs="Arial"/>
          <w:i/>
          <w:sz w:val="20"/>
          <w:szCs w:val="20"/>
        </w:rPr>
        <w:t>microcolumn</w:t>
      </w:r>
      <w:proofErr w:type="spellEnd"/>
      <w:r w:rsidRPr="004B2EBB">
        <w:rPr>
          <w:rFonts w:ascii="Arial" w:hAnsi="Arial" w:cs="Arial"/>
          <w:i/>
          <w:sz w:val="20"/>
          <w:szCs w:val="20"/>
        </w:rPr>
        <w:t xml:space="preserve"> purification</w:t>
      </w:r>
    </w:p>
    <w:p w:rsidR="00A67A4A" w:rsidRPr="004B2EBB" w:rsidRDefault="00CC4FBC" w:rsidP="00231EAA">
      <w:pPr>
        <w:spacing w:after="0" w:line="480" w:lineRule="auto"/>
        <w:rPr>
          <w:rFonts w:ascii="Arial" w:hAnsi="Arial" w:cs="Arial"/>
          <w:sz w:val="20"/>
          <w:szCs w:val="20"/>
        </w:rPr>
      </w:pPr>
      <w:r w:rsidRPr="004B2EBB">
        <w:rPr>
          <w:rFonts w:ascii="Arial" w:hAnsi="Arial" w:cs="Arial"/>
          <w:sz w:val="20"/>
          <w:szCs w:val="20"/>
        </w:rPr>
        <w:tab/>
        <w:t>The purification step needs to be tested to ensure that only and all genetic material from the lysate passes through the silica bead column.  Lysate known to contain the mutated mRNA will be passed through and analysis of the elutio</w:t>
      </w:r>
      <w:r w:rsidR="00B70313" w:rsidRPr="004B2EBB">
        <w:rPr>
          <w:rFonts w:ascii="Arial" w:hAnsi="Arial" w:cs="Arial"/>
          <w:sz w:val="20"/>
          <w:szCs w:val="20"/>
        </w:rPr>
        <w:t xml:space="preserve">n will be performed using qPCR.  This will also quantify the amount of mutated mRNA and ensure that the concentration has not decreased below 100 </w:t>
      </w:r>
      <w:proofErr w:type="spellStart"/>
      <w:r w:rsidR="00B70313" w:rsidRPr="004B2EBB">
        <w:rPr>
          <w:rFonts w:ascii="Arial" w:hAnsi="Arial" w:cs="Arial"/>
          <w:sz w:val="20"/>
          <w:szCs w:val="20"/>
        </w:rPr>
        <w:t>fmol</w:t>
      </w:r>
      <w:proofErr w:type="spellEnd"/>
      <w:r w:rsidR="00B70313" w:rsidRPr="004B2EBB">
        <w:rPr>
          <w:rFonts w:ascii="Arial" w:hAnsi="Arial" w:cs="Arial"/>
          <w:sz w:val="20"/>
          <w:szCs w:val="20"/>
        </w:rPr>
        <w:t xml:space="preserve"> before hybridization.</w:t>
      </w:r>
    </w:p>
    <w:p w:rsidR="00614162" w:rsidRDefault="00614162" w:rsidP="00231EAA">
      <w:pPr>
        <w:spacing w:after="0" w:line="480" w:lineRule="auto"/>
        <w:rPr>
          <w:rFonts w:ascii="Arial" w:hAnsi="Arial" w:cs="Arial"/>
          <w:i/>
          <w:sz w:val="20"/>
          <w:szCs w:val="20"/>
        </w:rPr>
      </w:pPr>
    </w:p>
    <w:p w:rsidR="002B122E" w:rsidRPr="004B2EBB" w:rsidRDefault="002B122E" w:rsidP="00231EAA">
      <w:pPr>
        <w:spacing w:after="0" w:line="480" w:lineRule="auto"/>
        <w:rPr>
          <w:rFonts w:ascii="Arial" w:hAnsi="Arial" w:cs="Arial"/>
          <w:i/>
          <w:sz w:val="20"/>
          <w:szCs w:val="20"/>
        </w:rPr>
      </w:pPr>
      <w:r w:rsidRPr="004B2EBB">
        <w:rPr>
          <w:rFonts w:ascii="Arial" w:hAnsi="Arial" w:cs="Arial"/>
          <w:i/>
          <w:sz w:val="20"/>
          <w:szCs w:val="20"/>
        </w:rPr>
        <w:t xml:space="preserve">Hybridization of mRNA to complementary </w:t>
      </w:r>
      <w:proofErr w:type="spellStart"/>
      <w:r w:rsidRPr="004B2EBB">
        <w:rPr>
          <w:rFonts w:ascii="Arial" w:hAnsi="Arial" w:cs="Arial"/>
          <w:i/>
          <w:sz w:val="20"/>
          <w:szCs w:val="20"/>
        </w:rPr>
        <w:t>ssDNA</w:t>
      </w:r>
      <w:proofErr w:type="spellEnd"/>
    </w:p>
    <w:p w:rsidR="004D3CE1" w:rsidRPr="004B2EBB" w:rsidRDefault="002B122E" w:rsidP="00231EAA">
      <w:pPr>
        <w:spacing w:after="0" w:line="480" w:lineRule="auto"/>
        <w:rPr>
          <w:rFonts w:ascii="Arial" w:hAnsi="Arial" w:cs="Arial"/>
          <w:sz w:val="20"/>
          <w:szCs w:val="20"/>
        </w:rPr>
      </w:pPr>
      <w:r w:rsidRPr="004B2EBB">
        <w:rPr>
          <w:rFonts w:ascii="Arial" w:hAnsi="Arial" w:cs="Arial"/>
          <w:sz w:val="20"/>
          <w:szCs w:val="20"/>
        </w:rPr>
        <w:tab/>
      </w:r>
      <w:r w:rsidR="004D3CE1" w:rsidRPr="004B2EBB">
        <w:rPr>
          <w:rFonts w:ascii="Arial" w:hAnsi="Arial" w:cs="Arial"/>
          <w:sz w:val="20"/>
          <w:szCs w:val="20"/>
        </w:rPr>
        <w:t>Northern blotting can be used to verify and optimize the hybridization the mRNA and DNA under microfluidic conditions.</w:t>
      </w:r>
    </w:p>
    <w:p w:rsidR="00081C74" w:rsidRPr="004B2EBB" w:rsidRDefault="002B122E" w:rsidP="00081C74">
      <w:pPr>
        <w:spacing w:after="0" w:line="480" w:lineRule="auto"/>
        <w:rPr>
          <w:rFonts w:ascii="Arial" w:hAnsi="Arial" w:cs="Arial"/>
          <w:sz w:val="20"/>
          <w:szCs w:val="20"/>
        </w:rPr>
      </w:pPr>
      <w:r w:rsidRPr="004B2EBB">
        <w:rPr>
          <w:rFonts w:ascii="Arial" w:hAnsi="Arial" w:cs="Arial"/>
          <w:sz w:val="20"/>
          <w:szCs w:val="20"/>
        </w:rPr>
        <w:t xml:space="preserve">The main goal in testing the hybridization step is to optimize the amount of </w:t>
      </w:r>
      <w:proofErr w:type="spellStart"/>
      <w:r w:rsidRPr="004B2EBB">
        <w:rPr>
          <w:rFonts w:ascii="Arial" w:hAnsi="Arial" w:cs="Arial"/>
          <w:sz w:val="20"/>
          <w:szCs w:val="20"/>
        </w:rPr>
        <w:t>ssDNA</w:t>
      </w:r>
      <w:proofErr w:type="spellEnd"/>
      <w:r w:rsidRPr="004B2EBB">
        <w:rPr>
          <w:rFonts w:ascii="Arial" w:hAnsi="Arial" w:cs="Arial"/>
          <w:sz w:val="20"/>
          <w:szCs w:val="20"/>
        </w:rPr>
        <w:t xml:space="preserve"> that needs to be added.</w:t>
      </w:r>
      <w:r w:rsidR="000D7C0C" w:rsidRPr="004B2EBB">
        <w:rPr>
          <w:rFonts w:ascii="Arial" w:hAnsi="Arial" w:cs="Arial"/>
          <w:sz w:val="20"/>
          <w:szCs w:val="20"/>
        </w:rPr>
        <w:t xml:space="preserve">  Microarrays of oligonucleotides complementary to the </w:t>
      </w:r>
      <w:proofErr w:type="spellStart"/>
      <w:r w:rsidR="000D7C0C" w:rsidRPr="004B2EBB">
        <w:rPr>
          <w:rFonts w:ascii="Arial" w:hAnsi="Arial" w:cs="Arial"/>
          <w:sz w:val="20"/>
          <w:szCs w:val="20"/>
        </w:rPr>
        <w:t>ssDNA</w:t>
      </w:r>
      <w:proofErr w:type="spellEnd"/>
      <w:r w:rsidR="000D7C0C" w:rsidRPr="004B2EBB">
        <w:rPr>
          <w:rFonts w:ascii="Arial" w:hAnsi="Arial" w:cs="Arial"/>
          <w:sz w:val="20"/>
          <w:szCs w:val="20"/>
        </w:rPr>
        <w:t xml:space="preserve"> can be used.  By using a microarray with a number of oligonucleotides comparable to the concentration of mutated mRNA present after elution, different concentrations of fluorescently-</w:t>
      </w:r>
      <w:proofErr w:type="spellStart"/>
      <w:r w:rsidR="000D7C0C" w:rsidRPr="004B2EBB">
        <w:rPr>
          <w:rFonts w:ascii="Arial" w:hAnsi="Arial" w:cs="Arial"/>
          <w:sz w:val="20"/>
          <w:szCs w:val="20"/>
        </w:rPr>
        <w:t>labelled</w:t>
      </w:r>
      <w:proofErr w:type="spellEnd"/>
      <w:r w:rsidR="000D7C0C" w:rsidRPr="004B2EBB">
        <w:rPr>
          <w:rFonts w:ascii="Arial" w:hAnsi="Arial" w:cs="Arial"/>
          <w:sz w:val="20"/>
          <w:szCs w:val="20"/>
        </w:rPr>
        <w:t xml:space="preserve"> </w:t>
      </w:r>
      <w:proofErr w:type="spellStart"/>
      <w:r w:rsidR="000D7C0C" w:rsidRPr="004B2EBB">
        <w:rPr>
          <w:rFonts w:ascii="Arial" w:hAnsi="Arial" w:cs="Arial"/>
          <w:sz w:val="20"/>
          <w:szCs w:val="20"/>
        </w:rPr>
        <w:t>ssDNA</w:t>
      </w:r>
      <w:proofErr w:type="spellEnd"/>
      <w:r w:rsidR="000D7C0C" w:rsidRPr="004B2EBB">
        <w:rPr>
          <w:rFonts w:ascii="Arial" w:hAnsi="Arial" w:cs="Arial"/>
          <w:sz w:val="20"/>
          <w:szCs w:val="20"/>
        </w:rPr>
        <w:t xml:space="preserve"> can be introduced to the microarrays.  The concentrations of the </w:t>
      </w:r>
      <w:proofErr w:type="spellStart"/>
      <w:r w:rsidR="000D7C0C" w:rsidRPr="004B2EBB">
        <w:rPr>
          <w:rFonts w:ascii="Arial" w:hAnsi="Arial" w:cs="Arial"/>
          <w:sz w:val="20"/>
          <w:szCs w:val="20"/>
        </w:rPr>
        <w:t>ssDNA</w:t>
      </w:r>
      <w:proofErr w:type="spellEnd"/>
      <w:r w:rsidR="000D7C0C" w:rsidRPr="004B2EBB">
        <w:rPr>
          <w:rFonts w:ascii="Arial" w:hAnsi="Arial" w:cs="Arial"/>
          <w:sz w:val="20"/>
          <w:szCs w:val="20"/>
        </w:rPr>
        <w:t xml:space="preserve"> added will be increased until there is no longer a measurable increase in fluorescence.  The highest concentration up to this point will be used for the microdevice.</w:t>
      </w:r>
      <w:r w:rsidR="005A3470">
        <w:rPr>
          <w:rFonts w:ascii="Arial" w:hAnsi="Arial" w:cs="Arial"/>
          <w:sz w:val="20"/>
          <w:szCs w:val="20"/>
        </w:rPr>
        <w:t xml:space="preserve">  Goff </w:t>
      </w:r>
      <w:proofErr w:type="gramStart"/>
      <w:r w:rsidR="005A3470">
        <w:rPr>
          <w:rFonts w:ascii="Arial" w:hAnsi="Arial" w:cs="Arial"/>
          <w:sz w:val="20"/>
          <w:szCs w:val="20"/>
        </w:rPr>
        <w:t>et</w:t>
      </w:r>
      <w:proofErr w:type="gramEnd"/>
      <w:r w:rsidR="005A3470">
        <w:rPr>
          <w:rFonts w:ascii="Arial" w:hAnsi="Arial" w:cs="Arial"/>
          <w:sz w:val="20"/>
          <w:szCs w:val="20"/>
        </w:rPr>
        <w:t xml:space="preserve">. </w:t>
      </w:r>
      <w:proofErr w:type="gramStart"/>
      <w:r w:rsidR="005A3470">
        <w:rPr>
          <w:rFonts w:ascii="Arial" w:hAnsi="Arial" w:cs="Arial"/>
          <w:sz w:val="20"/>
          <w:szCs w:val="20"/>
        </w:rPr>
        <w:t>al</w:t>
      </w:r>
      <w:proofErr w:type="gramEnd"/>
      <w:r w:rsidR="005A3470">
        <w:rPr>
          <w:rFonts w:ascii="Arial" w:hAnsi="Arial" w:cs="Arial"/>
          <w:sz w:val="20"/>
          <w:szCs w:val="20"/>
        </w:rPr>
        <w:t xml:space="preserve"> [26</w:t>
      </w:r>
      <w:r w:rsidR="00FC57C3" w:rsidRPr="004B2EBB">
        <w:rPr>
          <w:rFonts w:ascii="Arial" w:hAnsi="Arial" w:cs="Arial"/>
          <w:sz w:val="20"/>
          <w:szCs w:val="20"/>
        </w:rPr>
        <w:t>]</w:t>
      </w:r>
      <w:r w:rsidR="00782580" w:rsidRPr="004B2EBB">
        <w:rPr>
          <w:rFonts w:ascii="Arial" w:hAnsi="Arial" w:cs="Arial"/>
          <w:sz w:val="20"/>
          <w:szCs w:val="20"/>
        </w:rPr>
        <w:t xml:space="preserve"> used a similar method of optimization for detection of </w:t>
      </w:r>
      <w:proofErr w:type="spellStart"/>
      <w:r w:rsidR="00782580" w:rsidRPr="004B2EBB">
        <w:rPr>
          <w:rFonts w:ascii="Arial" w:hAnsi="Arial" w:cs="Arial"/>
          <w:sz w:val="20"/>
          <w:szCs w:val="20"/>
        </w:rPr>
        <w:t>miRNA</w:t>
      </w:r>
      <w:proofErr w:type="spellEnd"/>
      <w:r w:rsidR="00782580" w:rsidRPr="004B2EBB">
        <w:rPr>
          <w:rFonts w:ascii="Arial" w:hAnsi="Arial" w:cs="Arial"/>
          <w:sz w:val="20"/>
          <w:szCs w:val="20"/>
        </w:rPr>
        <w:t>.</w:t>
      </w:r>
    </w:p>
    <w:p w:rsidR="00081C74" w:rsidRPr="004B2EBB" w:rsidRDefault="00081C74" w:rsidP="00081C74">
      <w:pPr>
        <w:spacing w:after="0" w:line="480" w:lineRule="auto"/>
        <w:rPr>
          <w:rFonts w:ascii="Arial" w:hAnsi="Arial" w:cs="Arial"/>
          <w:i/>
          <w:sz w:val="20"/>
          <w:szCs w:val="20"/>
        </w:rPr>
      </w:pPr>
    </w:p>
    <w:p w:rsidR="00081C74" w:rsidRPr="004B2EBB" w:rsidRDefault="00081C74" w:rsidP="00081C74">
      <w:pPr>
        <w:spacing w:after="0" w:line="480" w:lineRule="auto"/>
        <w:rPr>
          <w:rFonts w:ascii="Arial" w:hAnsi="Arial" w:cs="Arial"/>
          <w:i/>
          <w:sz w:val="20"/>
          <w:szCs w:val="20"/>
        </w:rPr>
      </w:pPr>
      <w:r w:rsidRPr="004B2EBB">
        <w:rPr>
          <w:rFonts w:ascii="Arial" w:hAnsi="Arial" w:cs="Arial"/>
          <w:i/>
          <w:sz w:val="20"/>
          <w:szCs w:val="20"/>
        </w:rPr>
        <w:t>Addition of colloidal gold solution</w:t>
      </w:r>
    </w:p>
    <w:p w:rsidR="00231EAA" w:rsidRPr="004B2EBB" w:rsidRDefault="008C33DF" w:rsidP="00081C74">
      <w:pPr>
        <w:spacing w:after="0" w:line="480" w:lineRule="auto"/>
        <w:ind w:firstLine="720"/>
        <w:rPr>
          <w:rFonts w:ascii="Arial" w:hAnsi="Arial" w:cs="Arial"/>
          <w:sz w:val="20"/>
          <w:szCs w:val="20"/>
        </w:rPr>
      </w:pPr>
      <w:r w:rsidRPr="004B2EBB">
        <w:rPr>
          <w:rFonts w:ascii="Arial" w:hAnsi="Arial" w:cs="Arial"/>
          <w:sz w:val="20"/>
          <w:szCs w:val="20"/>
        </w:rPr>
        <w:t xml:space="preserve">The color change associated with the gold colloid will have to be verified first with no genetic material present.  Next, different concentrations of the colloid will be added to the expected sample concentrations of </w:t>
      </w:r>
      <w:proofErr w:type="spellStart"/>
      <w:r w:rsidRPr="004B2EBB">
        <w:rPr>
          <w:rFonts w:ascii="Arial" w:hAnsi="Arial" w:cs="Arial"/>
          <w:sz w:val="20"/>
          <w:szCs w:val="20"/>
        </w:rPr>
        <w:t>ssDNA</w:t>
      </w:r>
      <w:proofErr w:type="spellEnd"/>
      <w:r w:rsidRPr="004B2EBB">
        <w:rPr>
          <w:rFonts w:ascii="Arial" w:hAnsi="Arial" w:cs="Arial"/>
          <w:sz w:val="20"/>
          <w:szCs w:val="20"/>
        </w:rPr>
        <w:t xml:space="preserve"> and </w:t>
      </w:r>
      <w:proofErr w:type="spellStart"/>
      <w:r w:rsidRPr="004B2EBB">
        <w:rPr>
          <w:rFonts w:ascii="Arial" w:hAnsi="Arial" w:cs="Arial"/>
          <w:sz w:val="20"/>
          <w:szCs w:val="20"/>
        </w:rPr>
        <w:t>dsDNA</w:t>
      </w:r>
      <w:proofErr w:type="spellEnd"/>
      <w:r w:rsidRPr="004B2EBB">
        <w:rPr>
          <w:rFonts w:ascii="Arial" w:hAnsi="Arial" w:cs="Arial"/>
          <w:sz w:val="20"/>
          <w:szCs w:val="20"/>
        </w:rPr>
        <w:t>, as determined above.  The concentration that provides the most definite color change will be used.</w:t>
      </w:r>
    </w:p>
    <w:p w:rsidR="00073480" w:rsidRPr="004B2EBB" w:rsidRDefault="00073480" w:rsidP="00081C74">
      <w:pPr>
        <w:spacing w:after="0" w:line="480" w:lineRule="auto"/>
        <w:ind w:firstLine="720"/>
        <w:rPr>
          <w:rFonts w:ascii="Arial" w:hAnsi="Arial" w:cs="Arial"/>
          <w:sz w:val="20"/>
          <w:szCs w:val="20"/>
        </w:rPr>
      </w:pPr>
    </w:p>
    <w:p w:rsidR="00073480" w:rsidRPr="004B2EBB" w:rsidRDefault="00073480" w:rsidP="00081C74">
      <w:pPr>
        <w:spacing w:after="0" w:line="480" w:lineRule="auto"/>
        <w:ind w:firstLine="720"/>
        <w:rPr>
          <w:rFonts w:ascii="Arial" w:hAnsi="Arial" w:cs="Arial"/>
          <w:sz w:val="20"/>
          <w:szCs w:val="20"/>
        </w:rPr>
      </w:pPr>
      <w:r w:rsidRPr="004B2EBB">
        <w:rPr>
          <w:rFonts w:ascii="Arial" w:hAnsi="Arial" w:cs="Arial"/>
          <w:sz w:val="20"/>
          <w:szCs w:val="20"/>
        </w:rPr>
        <w:t xml:space="preserve">Once testing of all the separate components is completed, the sample will be run from start to finish with all the concentrations and volumes expected to be used in the microfluidics device, and any overall design flaws or changes can be made to the experimental protocols.  Next, based on the </w:t>
      </w:r>
      <w:r w:rsidRPr="004B2EBB">
        <w:rPr>
          <w:rFonts w:ascii="Arial" w:hAnsi="Arial" w:cs="Arial"/>
          <w:sz w:val="20"/>
          <w:szCs w:val="20"/>
        </w:rPr>
        <w:lastRenderedPageBreak/>
        <w:t>experimental protocols, the actual design of the device can begin.  Different designs will be fabricated and tested with sputum samples known to contain the EGFR receptor mutation, and samples that do not.</w:t>
      </w:r>
    </w:p>
    <w:p w:rsidR="00073480" w:rsidRDefault="00073480" w:rsidP="00081C74">
      <w:pPr>
        <w:spacing w:after="0" w:line="480" w:lineRule="auto"/>
        <w:ind w:firstLine="720"/>
        <w:rPr>
          <w:rFonts w:ascii="Arial" w:hAnsi="Arial" w:cs="Arial"/>
          <w:sz w:val="20"/>
          <w:szCs w:val="20"/>
        </w:rPr>
      </w:pPr>
      <w:r w:rsidRPr="004B2EBB">
        <w:rPr>
          <w:rFonts w:ascii="Arial" w:hAnsi="Arial" w:cs="Arial"/>
          <w:sz w:val="20"/>
          <w:szCs w:val="20"/>
        </w:rPr>
        <w:t>When a design has been chosen and optimized, clinical testing on lung cancer patients can begin.  The device will first be used alongside more conventional methods of detecting lung cancer.  Finally, a long-term study will be performed in which individuals testing positive on the device for the EGFR mutation will be monitored for the possible development of lung cancer.</w:t>
      </w:r>
    </w:p>
    <w:p w:rsidR="00063185" w:rsidRDefault="00063185">
      <w:pPr>
        <w:rPr>
          <w:rFonts w:ascii="Arial" w:hAnsi="Arial" w:cs="Arial"/>
          <w:sz w:val="20"/>
          <w:szCs w:val="20"/>
        </w:rPr>
      </w:pPr>
      <w:r>
        <w:rPr>
          <w:rFonts w:ascii="Arial" w:hAnsi="Arial" w:cs="Arial"/>
          <w:sz w:val="20"/>
          <w:szCs w:val="20"/>
        </w:rPr>
        <w:br w:type="page"/>
      </w:r>
    </w:p>
    <w:p w:rsidR="00081C74" w:rsidRPr="004B2EBB" w:rsidRDefault="00063185" w:rsidP="00685A7C">
      <w:pPr>
        <w:spacing w:after="0" w:line="480" w:lineRule="auto"/>
        <w:rPr>
          <w:rFonts w:ascii="Arial" w:hAnsi="Arial" w:cs="Arial"/>
          <w:sz w:val="20"/>
          <w:szCs w:val="20"/>
        </w:rPr>
      </w:pPr>
      <w:r>
        <w:rPr>
          <w:rFonts w:ascii="Arial" w:hAnsi="Arial" w:cs="Arial"/>
          <w:b/>
          <w:sz w:val="20"/>
          <w:szCs w:val="20"/>
        </w:rPr>
        <w:lastRenderedPageBreak/>
        <w:t>REFERENCES</w:t>
      </w:r>
    </w:p>
    <w:p w:rsidR="00063185" w:rsidRPr="00685A7C" w:rsidRDefault="00063185" w:rsidP="00836402">
      <w:pPr>
        <w:spacing w:line="360" w:lineRule="auto"/>
        <w:ind w:left="540" w:hanging="540"/>
        <w:rPr>
          <w:rFonts w:ascii="Arial" w:hAnsi="Arial" w:cs="Arial"/>
          <w:sz w:val="20"/>
          <w:szCs w:val="20"/>
        </w:rPr>
      </w:pPr>
      <w:r w:rsidRPr="00685A7C">
        <w:rPr>
          <w:rFonts w:ascii="Arial" w:hAnsi="Arial" w:cs="Arial"/>
          <w:sz w:val="20"/>
          <w:szCs w:val="20"/>
        </w:rPr>
        <w:t xml:space="preserve">[1] </w:t>
      </w:r>
      <w:r w:rsidR="007549EC" w:rsidRPr="007549EC">
        <w:rPr>
          <w:rFonts w:ascii="Arial" w:hAnsi="Arial" w:cs="Arial"/>
          <w:sz w:val="20"/>
          <w:szCs w:val="20"/>
        </w:rPr>
        <w:t xml:space="preserve">American Cancer Society. </w:t>
      </w:r>
      <w:proofErr w:type="gramStart"/>
      <w:r w:rsidR="007549EC" w:rsidRPr="007549EC">
        <w:rPr>
          <w:rFonts w:ascii="Arial" w:hAnsi="Arial" w:cs="Arial"/>
          <w:sz w:val="20"/>
          <w:szCs w:val="20"/>
        </w:rPr>
        <w:t>Cancer Facts &amp; Figures 2012.</w:t>
      </w:r>
      <w:proofErr w:type="gramEnd"/>
      <w:r w:rsidR="007549EC" w:rsidRPr="007549EC">
        <w:rPr>
          <w:rFonts w:ascii="Arial" w:hAnsi="Arial" w:cs="Arial"/>
          <w:sz w:val="20"/>
          <w:szCs w:val="20"/>
        </w:rPr>
        <w:t xml:space="preserve"> Atlanta: American Cancer Society; 2012.</w:t>
      </w:r>
    </w:p>
    <w:p w:rsidR="00542F11" w:rsidRPr="00685A7C" w:rsidRDefault="00542F11" w:rsidP="00836402">
      <w:pPr>
        <w:spacing w:line="360" w:lineRule="auto"/>
        <w:ind w:left="540" w:hanging="540"/>
        <w:rPr>
          <w:rFonts w:ascii="Arial" w:hAnsi="Arial" w:cs="Arial"/>
          <w:sz w:val="20"/>
          <w:szCs w:val="20"/>
        </w:rPr>
      </w:pPr>
      <w:r w:rsidRPr="00685A7C">
        <w:rPr>
          <w:rFonts w:ascii="Arial" w:hAnsi="Arial" w:cs="Arial"/>
          <w:sz w:val="20"/>
          <w:szCs w:val="20"/>
        </w:rPr>
        <w:t>[</w:t>
      </w:r>
      <w:r w:rsidR="00E141DC" w:rsidRPr="00685A7C">
        <w:rPr>
          <w:rFonts w:ascii="Arial" w:hAnsi="Arial" w:cs="Arial"/>
          <w:sz w:val="20"/>
          <w:szCs w:val="20"/>
        </w:rPr>
        <w:t>2</w:t>
      </w:r>
      <w:r w:rsidRPr="00685A7C">
        <w:rPr>
          <w:rFonts w:ascii="Arial" w:hAnsi="Arial" w:cs="Arial"/>
          <w:sz w:val="20"/>
          <w:szCs w:val="20"/>
        </w:rPr>
        <w:t xml:space="preserve">] </w:t>
      </w:r>
      <w:r w:rsidR="007549EC" w:rsidRPr="007549EC">
        <w:rPr>
          <w:rFonts w:ascii="Arial" w:hAnsi="Arial" w:cs="Arial"/>
          <w:sz w:val="20"/>
          <w:szCs w:val="20"/>
        </w:rPr>
        <w:t xml:space="preserve">American Lung Association. </w:t>
      </w:r>
      <w:proofErr w:type="gramStart"/>
      <w:r w:rsidR="007549EC" w:rsidRPr="007549EC">
        <w:rPr>
          <w:rFonts w:ascii="Arial" w:hAnsi="Arial" w:cs="Arial"/>
          <w:sz w:val="20"/>
          <w:szCs w:val="20"/>
        </w:rPr>
        <w:t>(2012). Lung cancer fact sheet.</w:t>
      </w:r>
      <w:proofErr w:type="gramEnd"/>
      <w:r w:rsidR="007549EC" w:rsidRPr="007549EC">
        <w:rPr>
          <w:rFonts w:ascii="Arial" w:hAnsi="Arial" w:cs="Arial"/>
          <w:sz w:val="20"/>
          <w:szCs w:val="20"/>
        </w:rPr>
        <w:t xml:space="preserve"> Retrieved from http://www.lung.org/lung-disease/lung-cancer/resources/facts-figures/lung-cancer-fact-sheet.html</w:t>
      </w:r>
    </w:p>
    <w:p w:rsidR="007549EC" w:rsidRDefault="0040749B" w:rsidP="00836402">
      <w:pPr>
        <w:spacing w:line="360" w:lineRule="auto"/>
        <w:ind w:left="540" w:hanging="540"/>
        <w:rPr>
          <w:rFonts w:ascii="Arial" w:hAnsi="Arial" w:cs="Arial"/>
          <w:sz w:val="20"/>
          <w:szCs w:val="20"/>
        </w:rPr>
      </w:pPr>
      <w:r w:rsidRPr="00685A7C">
        <w:rPr>
          <w:rFonts w:ascii="Arial" w:hAnsi="Arial" w:cs="Arial"/>
          <w:sz w:val="20"/>
          <w:szCs w:val="20"/>
        </w:rPr>
        <w:t>[</w:t>
      </w:r>
      <w:r w:rsidR="00E141DC" w:rsidRPr="00685A7C">
        <w:rPr>
          <w:rFonts w:ascii="Arial" w:hAnsi="Arial" w:cs="Arial"/>
          <w:sz w:val="20"/>
          <w:szCs w:val="20"/>
        </w:rPr>
        <w:t>3</w:t>
      </w:r>
      <w:r w:rsidRPr="00685A7C">
        <w:rPr>
          <w:rFonts w:ascii="Arial" w:hAnsi="Arial" w:cs="Arial"/>
          <w:sz w:val="20"/>
          <w:szCs w:val="20"/>
        </w:rPr>
        <w:t xml:space="preserve">] </w:t>
      </w:r>
      <w:r w:rsidR="007549EC" w:rsidRPr="007549EC">
        <w:rPr>
          <w:rFonts w:ascii="Arial" w:hAnsi="Arial" w:cs="Arial"/>
          <w:sz w:val="20"/>
          <w:szCs w:val="20"/>
        </w:rPr>
        <w:t>LungCancer.org. (2012). Screening for lung cancer. Retrieved from http://www</w:t>
      </w:r>
      <w:bookmarkStart w:id="0" w:name="_GoBack"/>
      <w:bookmarkEnd w:id="0"/>
      <w:r w:rsidR="007549EC" w:rsidRPr="007549EC">
        <w:rPr>
          <w:rFonts w:ascii="Arial" w:hAnsi="Arial" w:cs="Arial"/>
          <w:sz w:val="20"/>
          <w:szCs w:val="20"/>
        </w:rPr>
        <w:t xml:space="preserve">.lungcancer.org/find_information/publications/163-lung_cancer_101/274-screening </w:t>
      </w:r>
    </w:p>
    <w:p w:rsidR="007549EC" w:rsidRDefault="00E141DC" w:rsidP="00836402">
      <w:pPr>
        <w:spacing w:line="360" w:lineRule="auto"/>
        <w:ind w:left="540" w:hanging="540"/>
        <w:rPr>
          <w:rFonts w:ascii="Arial" w:hAnsi="Arial" w:cs="Arial"/>
          <w:sz w:val="20"/>
          <w:szCs w:val="20"/>
        </w:rPr>
      </w:pPr>
      <w:r w:rsidRPr="00685A7C">
        <w:rPr>
          <w:rFonts w:ascii="Arial" w:hAnsi="Arial" w:cs="Arial"/>
          <w:sz w:val="20"/>
          <w:szCs w:val="20"/>
        </w:rPr>
        <w:t>[4</w:t>
      </w:r>
      <w:r w:rsidR="00013C04" w:rsidRPr="00685A7C">
        <w:rPr>
          <w:rFonts w:ascii="Arial" w:hAnsi="Arial" w:cs="Arial"/>
          <w:sz w:val="20"/>
          <w:szCs w:val="20"/>
        </w:rPr>
        <w:t xml:space="preserve">] </w:t>
      </w:r>
      <w:r w:rsidR="007549EC" w:rsidRPr="007549EC">
        <w:rPr>
          <w:rFonts w:ascii="Arial" w:hAnsi="Arial" w:cs="Arial"/>
          <w:sz w:val="20"/>
          <w:szCs w:val="20"/>
        </w:rPr>
        <w:t xml:space="preserve">McCarthy, W. J., Meza, R., </w:t>
      </w:r>
      <w:proofErr w:type="spellStart"/>
      <w:r w:rsidR="007549EC" w:rsidRPr="007549EC">
        <w:rPr>
          <w:rFonts w:ascii="Arial" w:hAnsi="Arial" w:cs="Arial"/>
          <w:sz w:val="20"/>
          <w:szCs w:val="20"/>
        </w:rPr>
        <w:t>Jeon</w:t>
      </w:r>
      <w:proofErr w:type="spellEnd"/>
      <w:r w:rsidR="007549EC" w:rsidRPr="007549EC">
        <w:rPr>
          <w:rFonts w:ascii="Arial" w:hAnsi="Arial" w:cs="Arial"/>
          <w:sz w:val="20"/>
          <w:szCs w:val="20"/>
        </w:rPr>
        <w:t xml:space="preserve">, J., &amp; </w:t>
      </w:r>
      <w:proofErr w:type="spellStart"/>
      <w:r w:rsidR="007549EC" w:rsidRPr="007549EC">
        <w:rPr>
          <w:rFonts w:ascii="Arial" w:hAnsi="Arial" w:cs="Arial"/>
          <w:sz w:val="20"/>
          <w:szCs w:val="20"/>
        </w:rPr>
        <w:t>Moolgavkar</w:t>
      </w:r>
      <w:proofErr w:type="spellEnd"/>
      <w:r w:rsidR="007549EC" w:rsidRPr="007549EC">
        <w:rPr>
          <w:rFonts w:ascii="Arial" w:hAnsi="Arial" w:cs="Arial"/>
          <w:sz w:val="20"/>
          <w:szCs w:val="20"/>
        </w:rPr>
        <w:t xml:space="preserve">, S. H. (2012). Chapter 6: Lung cancer in never smokers. </w:t>
      </w:r>
      <w:proofErr w:type="gramStart"/>
      <w:r w:rsidR="007549EC" w:rsidRPr="006A4C16">
        <w:rPr>
          <w:rFonts w:ascii="Arial" w:hAnsi="Arial" w:cs="Arial"/>
          <w:i/>
          <w:sz w:val="20"/>
          <w:szCs w:val="20"/>
        </w:rPr>
        <w:t>Risk Analysis</w:t>
      </w:r>
      <w:r w:rsidR="007549EC">
        <w:rPr>
          <w:rFonts w:ascii="Arial" w:hAnsi="Arial" w:cs="Arial"/>
          <w:sz w:val="20"/>
          <w:szCs w:val="20"/>
        </w:rPr>
        <w:t>, 32(s1), S69-S84.</w:t>
      </w:r>
      <w:proofErr w:type="gramEnd"/>
      <w:r w:rsidR="007549EC">
        <w:rPr>
          <w:rFonts w:ascii="Arial" w:hAnsi="Arial" w:cs="Arial"/>
          <w:sz w:val="20"/>
          <w:szCs w:val="20"/>
        </w:rPr>
        <w:t xml:space="preserve"> doi:</w:t>
      </w:r>
      <w:r w:rsidR="007549EC" w:rsidRPr="007549EC">
        <w:rPr>
          <w:rFonts w:ascii="Arial" w:hAnsi="Arial" w:cs="Arial"/>
          <w:sz w:val="20"/>
          <w:szCs w:val="20"/>
        </w:rPr>
        <w:t xml:space="preserve">10.1111/j.1539-6924.2012.01768.x </w:t>
      </w:r>
    </w:p>
    <w:p w:rsidR="00D81556" w:rsidRPr="00685A7C" w:rsidRDefault="00E141DC" w:rsidP="00836402">
      <w:pPr>
        <w:spacing w:line="360" w:lineRule="auto"/>
        <w:ind w:left="540" w:hanging="540"/>
        <w:rPr>
          <w:rFonts w:ascii="Arial" w:hAnsi="Arial" w:cs="Arial"/>
          <w:sz w:val="20"/>
          <w:szCs w:val="20"/>
        </w:rPr>
      </w:pPr>
      <w:r w:rsidRPr="00685A7C">
        <w:rPr>
          <w:rFonts w:ascii="Arial" w:hAnsi="Arial" w:cs="Arial"/>
          <w:sz w:val="20"/>
          <w:szCs w:val="20"/>
        </w:rPr>
        <w:t>[5</w:t>
      </w:r>
      <w:r w:rsidR="00D81556" w:rsidRPr="00685A7C">
        <w:rPr>
          <w:rFonts w:ascii="Arial" w:hAnsi="Arial" w:cs="Arial"/>
          <w:sz w:val="20"/>
          <w:szCs w:val="20"/>
        </w:rPr>
        <w:t xml:space="preserve">] </w:t>
      </w:r>
      <w:r w:rsidR="007549EC" w:rsidRPr="007549EC">
        <w:rPr>
          <w:rFonts w:ascii="Arial" w:hAnsi="Arial" w:cs="Arial"/>
          <w:sz w:val="20"/>
          <w:szCs w:val="20"/>
        </w:rPr>
        <w:t xml:space="preserve">Jiang, F., Todd, N. W., </w:t>
      </w:r>
      <w:proofErr w:type="spellStart"/>
      <w:r w:rsidR="007549EC" w:rsidRPr="007549EC">
        <w:rPr>
          <w:rFonts w:ascii="Arial" w:hAnsi="Arial" w:cs="Arial"/>
          <w:sz w:val="20"/>
          <w:szCs w:val="20"/>
        </w:rPr>
        <w:t>Qiu</w:t>
      </w:r>
      <w:proofErr w:type="spellEnd"/>
      <w:r w:rsidR="007549EC" w:rsidRPr="007549EC">
        <w:rPr>
          <w:rFonts w:ascii="Arial" w:hAnsi="Arial" w:cs="Arial"/>
          <w:sz w:val="20"/>
          <w:szCs w:val="20"/>
        </w:rPr>
        <w:t xml:space="preserve">, Q., Liu, Z., Katz, R. L., &amp; </w:t>
      </w:r>
      <w:proofErr w:type="spellStart"/>
      <w:r w:rsidR="007549EC" w:rsidRPr="007549EC">
        <w:rPr>
          <w:rFonts w:ascii="Arial" w:hAnsi="Arial" w:cs="Arial"/>
          <w:sz w:val="20"/>
          <w:szCs w:val="20"/>
        </w:rPr>
        <w:t>Stass</w:t>
      </w:r>
      <w:proofErr w:type="spellEnd"/>
      <w:r w:rsidR="007549EC" w:rsidRPr="007549EC">
        <w:rPr>
          <w:rFonts w:ascii="Arial" w:hAnsi="Arial" w:cs="Arial"/>
          <w:sz w:val="20"/>
          <w:szCs w:val="20"/>
        </w:rPr>
        <w:t xml:space="preserve">, S. A. (2009). Combined genetic analysis of sputum and computed tomography for noninvasive diagnosis of non-small-cell lung cancer. </w:t>
      </w:r>
      <w:r w:rsidR="007549EC" w:rsidRPr="006A4C16">
        <w:rPr>
          <w:rFonts w:ascii="Arial" w:hAnsi="Arial" w:cs="Arial"/>
          <w:i/>
          <w:sz w:val="20"/>
          <w:szCs w:val="20"/>
        </w:rPr>
        <w:t>Lung Cancer</w:t>
      </w:r>
      <w:r w:rsidR="007549EC" w:rsidRPr="007549EC">
        <w:rPr>
          <w:rFonts w:ascii="Arial" w:hAnsi="Arial" w:cs="Arial"/>
          <w:sz w:val="20"/>
          <w:szCs w:val="20"/>
        </w:rPr>
        <w:t xml:space="preserve">, 66(1), 58-63. </w:t>
      </w:r>
      <w:proofErr w:type="spellStart"/>
      <w:proofErr w:type="gramStart"/>
      <w:r w:rsidR="007549EC" w:rsidRPr="007549EC">
        <w:rPr>
          <w:rFonts w:ascii="Arial" w:hAnsi="Arial" w:cs="Arial"/>
          <w:sz w:val="20"/>
          <w:szCs w:val="20"/>
        </w:rPr>
        <w:t>doi</w:t>
      </w:r>
      <w:proofErr w:type="spellEnd"/>
      <w:proofErr w:type="gramEnd"/>
      <w:r w:rsidR="007549EC" w:rsidRPr="007549EC">
        <w:rPr>
          <w:rFonts w:ascii="Arial" w:hAnsi="Arial" w:cs="Arial"/>
          <w:sz w:val="20"/>
          <w:szCs w:val="20"/>
        </w:rPr>
        <w:t>: http://dx.doi.org.ezproxy.ltu.edu:8080/10.1016/j.lungcan.2009.01.004</w:t>
      </w:r>
    </w:p>
    <w:p w:rsidR="00AE67E6" w:rsidRPr="00685A7C" w:rsidRDefault="00AE67E6" w:rsidP="00836402">
      <w:pPr>
        <w:spacing w:line="360" w:lineRule="auto"/>
        <w:ind w:left="540" w:hanging="540"/>
        <w:rPr>
          <w:rFonts w:ascii="Arial" w:hAnsi="Arial" w:cs="Arial"/>
          <w:sz w:val="20"/>
          <w:szCs w:val="20"/>
        </w:rPr>
      </w:pPr>
      <w:r w:rsidRPr="00685A7C">
        <w:rPr>
          <w:rFonts w:ascii="Arial" w:hAnsi="Arial" w:cs="Arial"/>
          <w:sz w:val="20"/>
          <w:szCs w:val="20"/>
        </w:rPr>
        <w:t>[</w:t>
      </w:r>
      <w:r w:rsidR="00E141DC" w:rsidRPr="00685A7C">
        <w:rPr>
          <w:rFonts w:ascii="Arial" w:hAnsi="Arial" w:cs="Arial"/>
          <w:sz w:val="20"/>
          <w:szCs w:val="20"/>
        </w:rPr>
        <w:t>6</w:t>
      </w:r>
      <w:r w:rsidRPr="00685A7C">
        <w:rPr>
          <w:rFonts w:ascii="Arial" w:hAnsi="Arial" w:cs="Arial"/>
          <w:sz w:val="20"/>
          <w:szCs w:val="20"/>
        </w:rPr>
        <w:t xml:space="preserve">] </w:t>
      </w:r>
      <w:proofErr w:type="spellStart"/>
      <w:r w:rsidR="007549EC" w:rsidRPr="007549EC">
        <w:rPr>
          <w:rFonts w:ascii="Arial" w:hAnsi="Arial" w:cs="Arial"/>
          <w:sz w:val="20"/>
          <w:szCs w:val="20"/>
        </w:rPr>
        <w:t>Oda</w:t>
      </w:r>
      <w:proofErr w:type="spellEnd"/>
      <w:r w:rsidR="007549EC" w:rsidRPr="007549EC">
        <w:rPr>
          <w:rFonts w:ascii="Arial" w:hAnsi="Arial" w:cs="Arial"/>
          <w:sz w:val="20"/>
          <w:szCs w:val="20"/>
        </w:rPr>
        <w:t xml:space="preserve">, K., Matsuoka, Y., </w:t>
      </w:r>
      <w:proofErr w:type="spellStart"/>
      <w:r w:rsidR="007549EC" w:rsidRPr="007549EC">
        <w:rPr>
          <w:rFonts w:ascii="Arial" w:hAnsi="Arial" w:cs="Arial"/>
          <w:sz w:val="20"/>
          <w:szCs w:val="20"/>
        </w:rPr>
        <w:t>Funahashi</w:t>
      </w:r>
      <w:proofErr w:type="spellEnd"/>
      <w:r w:rsidR="007549EC" w:rsidRPr="007549EC">
        <w:rPr>
          <w:rFonts w:ascii="Arial" w:hAnsi="Arial" w:cs="Arial"/>
          <w:sz w:val="20"/>
          <w:szCs w:val="20"/>
        </w:rPr>
        <w:t xml:space="preserve">, A., &amp; Kitano, H. (2005). </w:t>
      </w:r>
      <w:proofErr w:type="gramStart"/>
      <w:r w:rsidR="007549EC" w:rsidRPr="007549EC">
        <w:rPr>
          <w:rFonts w:ascii="Arial" w:hAnsi="Arial" w:cs="Arial"/>
          <w:sz w:val="20"/>
          <w:szCs w:val="20"/>
        </w:rPr>
        <w:t>A comprehensive pathway map of epidermal growth factor receptor signaling.</w:t>
      </w:r>
      <w:proofErr w:type="gramEnd"/>
      <w:r w:rsidR="007549EC" w:rsidRPr="007549EC">
        <w:rPr>
          <w:rFonts w:ascii="Arial" w:hAnsi="Arial" w:cs="Arial"/>
          <w:sz w:val="20"/>
          <w:szCs w:val="20"/>
        </w:rPr>
        <w:t xml:space="preserve"> </w:t>
      </w:r>
      <w:r w:rsidR="007549EC" w:rsidRPr="006A4C16">
        <w:rPr>
          <w:rFonts w:ascii="Arial" w:hAnsi="Arial" w:cs="Arial"/>
          <w:i/>
          <w:sz w:val="20"/>
          <w:szCs w:val="20"/>
        </w:rPr>
        <w:t>Molecular Systems Biology</w:t>
      </w:r>
      <w:r w:rsidR="007549EC" w:rsidRPr="007549EC">
        <w:rPr>
          <w:rFonts w:ascii="Arial" w:hAnsi="Arial" w:cs="Arial"/>
          <w:sz w:val="20"/>
          <w:szCs w:val="20"/>
        </w:rPr>
        <w:t xml:space="preserve">, 1, </w:t>
      </w:r>
      <w:proofErr w:type="spellStart"/>
      <w:r w:rsidR="007549EC" w:rsidRPr="007549EC">
        <w:rPr>
          <w:rFonts w:ascii="Arial" w:hAnsi="Arial" w:cs="Arial"/>
          <w:sz w:val="20"/>
          <w:szCs w:val="20"/>
        </w:rPr>
        <w:t>doi</w:t>
      </w:r>
      <w:proofErr w:type="spellEnd"/>
      <w:r w:rsidR="007549EC" w:rsidRPr="007549EC">
        <w:rPr>
          <w:rFonts w:ascii="Arial" w:hAnsi="Arial" w:cs="Arial"/>
          <w:sz w:val="20"/>
          <w:szCs w:val="20"/>
        </w:rPr>
        <w:t>: 10.1038/msb4100014</w:t>
      </w:r>
      <w:r w:rsidR="007549EC">
        <w:rPr>
          <w:rFonts w:ascii="Arial" w:hAnsi="Arial" w:cs="Arial"/>
          <w:sz w:val="20"/>
          <w:szCs w:val="20"/>
        </w:rPr>
        <w:t xml:space="preserve">. </w:t>
      </w:r>
      <w:proofErr w:type="gramStart"/>
      <w:r w:rsidR="007549EC">
        <w:rPr>
          <w:rFonts w:ascii="Arial" w:hAnsi="Arial" w:cs="Arial"/>
          <w:sz w:val="20"/>
          <w:szCs w:val="20"/>
        </w:rPr>
        <w:t>Online.</w:t>
      </w:r>
      <w:proofErr w:type="gramEnd"/>
    </w:p>
    <w:p w:rsidR="007549EC" w:rsidRDefault="00E141DC" w:rsidP="00836402">
      <w:pPr>
        <w:spacing w:line="360" w:lineRule="auto"/>
        <w:ind w:left="540" w:hanging="540"/>
        <w:rPr>
          <w:rFonts w:ascii="Arial" w:hAnsi="Arial" w:cs="Arial"/>
          <w:sz w:val="20"/>
          <w:szCs w:val="20"/>
        </w:rPr>
      </w:pPr>
      <w:r w:rsidRPr="00685A7C">
        <w:rPr>
          <w:rFonts w:ascii="Arial" w:hAnsi="Arial" w:cs="Arial"/>
          <w:sz w:val="20"/>
          <w:szCs w:val="20"/>
        </w:rPr>
        <w:t>[7</w:t>
      </w:r>
      <w:r w:rsidR="002F6F95" w:rsidRPr="00685A7C">
        <w:rPr>
          <w:rFonts w:ascii="Arial" w:hAnsi="Arial" w:cs="Arial"/>
          <w:sz w:val="20"/>
          <w:szCs w:val="20"/>
        </w:rPr>
        <w:t xml:space="preserve">] </w:t>
      </w:r>
      <w:proofErr w:type="spellStart"/>
      <w:r w:rsidR="007549EC" w:rsidRPr="007549EC">
        <w:rPr>
          <w:rFonts w:ascii="Arial" w:hAnsi="Arial" w:cs="Arial"/>
          <w:sz w:val="20"/>
          <w:szCs w:val="20"/>
        </w:rPr>
        <w:t>Lovly</w:t>
      </w:r>
      <w:proofErr w:type="spellEnd"/>
      <w:r w:rsidR="007549EC" w:rsidRPr="007549EC">
        <w:rPr>
          <w:rFonts w:ascii="Arial" w:hAnsi="Arial" w:cs="Arial"/>
          <w:sz w:val="20"/>
          <w:szCs w:val="20"/>
        </w:rPr>
        <w:t xml:space="preserve">, C., Horn, L., &amp; </w:t>
      </w:r>
      <w:proofErr w:type="spellStart"/>
      <w:r w:rsidR="007549EC" w:rsidRPr="007549EC">
        <w:rPr>
          <w:rFonts w:ascii="Arial" w:hAnsi="Arial" w:cs="Arial"/>
          <w:sz w:val="20"/>
          <w:szCs w:val="20"/>
        </w:rPr>
        <w:t>Pao</w:t>
      </w:r>
      <w:proofErr w:type="spellEnd"/>
      <w:r w:rsidR="007549EC" w:rsidRPr="007549EC">
        <w:rPr>
          <w:rFonts w:ascii="Arial" w:hAnsi="Arial" w:cs="Arial"/>
          <w:sz w:val="20"/>
          <w:szCs w:val="20"/>
        </w:rPr>
        <w:t xml:space="preserve">, W. (2012, September 7). </w:t>
      </w:r>
      <w:proofErr w:type="spellStart"/>
      <w:r w:rsidR="007549EC" w:rsidRPr="007549EC">
        <w:rPr>
          <w:rFonts w:ascii="Arial" w:hAnsi="Arial" w:cs="Arial"/>
          <w:sz w:val="20"/>
          <w:szCs w:val="20"/>
        </w:rPr>
        <w:t>Egfr</w:t>
      </w:r>
      <w:proofErr w:type="spellEnd"/>
      <w:r w:rsidR="007549EC" w:rsidRPr="007549EC">
        <w:rPr>
          <w:rFonts w:ascii="Arial" w:hAnsi="Arial" w:cs="Arial"/>
          <w:sz w:val="20"/>
          <w:szCs w:val="20"/>
        </w:rPr>
        <w:t xml:space="preserve"> mutations in non-small cell lung cancer (</w:t>
      </w:r>
      <w:proofErr w:type="spellStart"/>
      <w:r w:rsidR="007549EC" w:rsidRPr="007549EC">
        <w:rPr>
          <w:rFonts w:ascii="Arial" w:hAnsi="Arial" w:cs="Arial"/>
          <w:sz w:val="20"/>
          <w:szCs w:val="20"/>
        </w:rPr>
        <w:t>nsclc</w:t>
      </w:r>
      <w:proofErr w:type="spellEnd"/>
      <w:r w:rsidR="007549EC" w:rsidRPr="007549EC">
        <w:rPr>
          <w:rFonts w:ascii="Arial" w:hAnsi="Arial" w:cs="Arial"/>
          <w:sz w:val="20"/>
          <w:szCs w:val="20"/>
        </w:rPr>
        <w:t xml:space="preserve">). Retrieved from http://www.mycancergenome.org/content/disease/lung-cancer/egfr </w:t>
      </w:r>
    </w:p>
    <w:p w:rsidR="007549EC" w:rsidRDefault="003812DB" w:rsidP="00836402">
      <w:pPr>
        <w:spacing w:line="360" w:lineRule="auto"/>
        <w:ind w:left="540" w:hanging="540"/>
        <w:rPr>
          <w:rFonts w:ascii="Arial" w:hAnsi="Arial" w:cs="Arial"/>
          <w:sz w:val="20"/>
          <w:szCs w:val="20"/>
        </w:rPr>
      </w:pPr>
      <w:r w:rsidRPr="00685A7C">
        <w:rPr>
          <w:rFonts w:ascii="Arial" w:hAnsi="Arial" w:cs="Arial"/>
          <w:sz w:val="20"/>
          <w:szCs w:val="20"/>
        </w:rPr>
        <w:t>[</w:t>
      </w:r>
      <w:r w:rsidR="00E141DC" w:rsidRPr="00685A7C">
        <w:rPr>
          <w:rFonts w:ascii="Arial" w:hAnsi="Arial" w:cs="Arial"/>
          <w:sz w:val="20"/>
          <w:szCs w:val="20"/>
        </w:rPr>
        <w:t>8</w:t>
      </w:r>
      <w:r w:rsidRPr="00685A7C">
        <w:rPr>
          <w:rFonts w:ascii="Arial" w:hAnsi="Arial" w:cs="Arial"/>
          <w:sz w:val="20"/>
          <w:szCs w:val="20"/>
        </w:rPr>
        <w:t xml:space="preserve">] </w:t>
      </w:r>
      <w:proofErr w:type="spellStart"/>
      <w:r w:rsidR="007549EC" w:rsidRPr="007549EC">
        <w:rPr>
          <w:rFonts w:ascii="Arial" w:hAnsi="Arial" w:cs="Arial"/>
          <w:sz w:val="20"/>
          <w:szCs w:val="20"/>
        </w:rPr>
        <w:t>Ren</w:t>
      </w:r>
      <w:proofErr w:type="spellEnd"/>
      <w:r w:rsidR="007549EC" w:rsidRPr="007549EC">
        <w:rPr>
          <w:rFonts w:ascii="Arial" w:hAnsi="Arial" w:cs="Arial"/>
          <w:sz w:val="20"/>
          <w:szCs w:val="20"/>
        </w:rPr>
        <w:t xml:space="preserve">, J. H., He, W. S., Yan, G. L., Jin, M., Yang, K. Y., &amp; Wu, G. (2012). </w:t>
      </w:r>
      <w:proofErr w:type="spellStart"/>
      <w:r w:rsidR="007549EC" w:rsidRPr="007549EC">
        <w:rPr>
          <w:rFonts w:ascii="Arial" w:hAnsi="Arial" w:cs="Arial"/>
          <w:sz w:val="20"/>
          <w:szCs w:val="20"/>
        </w:rPr>
        <w:t>Egfr</w:t>
      </w:r>
      <w:proofErr w:type="spellEnd"/>
      <w:r w:rsidR="007549EC" w:rsidRPr="007549EC">
        <w:rPr>
          <w:rFonts w:ascii="Arial" w:hAnsi="Arial" w:cs="Arial"/>
          <w:sz w:val="20"/>
          <w:szCs w:val="20"/>
        </w:rPr>
        <w:t xml:space="preserve"> mutations in non-small-cell lung cancer among smokers and non-smokers: a meta-analysis. </w:t>
      </w:r>
      <w:r w:rsidR="007549EC" w:rsidRPr="006A4C16">
        <w:rPr>
          <w:rFonts w:ascii="Arial" w:hAnsi="Arial" w:cs="Arial"/>
          <w:i/>
          <w:sz w:val="20"/>
          <w:szCs w:val="20"/>
        </w:rPr>
        <w:t>Environmental and Molecular Mutagenesis</w:t>
      </w:r>
      <w:r w:rsidR="007549EC" w:rsidRPr="007549EC">
        <w:rPr>
          <w:rFonts w:ascii="Arial" w:hAnsi="Arial" w:cs="Arial"/>
          <w:sz w:val="20"/>
          <w:szCs w:val="20"/>
        </w:rPr>
        <w:t xml:space="preserve">, 53(1), 78-82. </w:t>
      </w:r>
      <w:proofErr w:type="spellStart"/>
      <w:proofErr w:type="gramStart"/>
      <w:r w:rsidR="007549EC" w:rsidRPr="007549EC">
        <w:rPr>
          <w:rFonts w:ascii="Arial" w:hAnsi="Arial" w:cs="Arial"/>
          <w:sz w:val="20"/>
          <w:szCs w:val="20"/>
        </w:rPr>
        <w:t>doi</w:t>
      </w:r>
      <w:proofErr w:type="spellEnd"/>
      <w:proofErr w:type="gramEnd"/>
      <w:r w:rsidR="007549EC" w:rsidRPr="007549EC">
        <w:rPr>
          <w:rFonts w:ascii="Arial" w:hAnsi="Arial" w:cs="Arial"/>
          <w:sz w:val="20"/>
          <w:szCs w:val="20"/>
        </w:rPr>
        <w:t xml:space="preserve">: 10.1002/em.20680 </w:t>
      </w:r>
    </w:p>
    <w:p w:rsidR="007549EC" w:rsidRDefault="00E141DC" w:rsidP="00836402">
      <w:pPr>
        <w:spacing w:line="360" w:lineRule="auto"/>
        <w:ind w:left="540" w:hanging="540"/>
        <w:rPr>
          <w:rFonts w:ascii="Arial" w:hAnsi="Arial" w:cs="Arial"/>
          <w:sz w:val="20"/>
          <w:szCs w:val="20"/>
        </w:rPr>
      </w:pPr>
      <w:r w:rsidRPr="00685A7C">
        <w:rPr>
          <w:rFonts w:ascii="Arial" w:hAnsi="Arial" w:cs="Arial"/>
          <w:sz w:val="20"/>
          <w:szCs w:val="20"/>
        </w:rPr>
        <w:t>[9</w:t>
      </w:r>
      <w:r w:rsidR="006A6608" w:rsidRPr="00685A7C">
        <w:rPr>
          <w:rFonts w:ascii="Arial" w:hAnsi="Arial" w:cs="Arial"/>
          <w:sz w:val="20"/>
          <w:szCs w:val="20"/>
        </w:rPr>
        <w:t xml:space="preserve">] </w:t>
      </w:r>
      <w:proofErr w:type="spellStart"/>
      <w:r w:rsidR="007549EC" w:rsidRPr="007549EC">
        <w:rPr>
          <w:rFonts w:ascii="Arial" w:hAnsi="Arial" w:cs="Arial"/>
          <w:sz w:val="20"/>
          <w:szCs w:val="20"/>
        </w:rPr>
        <w:t>Burgel</w:t>
      </w:r>
      <w:proofErr w:type="spellEnd"/>
      <w:r w:rsidR="007549EC" w:rsidRPr="007549EC">
        <w:rPr>
          <w:rFonts w:ascii="Arial" w:hAnsi="Arial" w:cs="Arial"/>
          <w:sz w:val="20"/>
          <w:szCs w:val="20"/>
        </w:rPr>
        <w:t xml:space="preserve">, P., &amp; </w:t>
      </w:r>
      <w:proofErr w:type="spellStart"/>
      <w:r w:rsidR="007549EC" w:rsidRPr="007549EC">
        <w:rPr>
          <w:rFonts w:ascii="Arial" w:hAnsi="Arial" w:cs="Arial"/>
          <w:sz w:val="20"/>
          <w:szCs w:val="20"/>
        </w:rPr>
        <w:t>Nadel</w:t>
      </w:r>
      <w:proofErr w:type="spellEnd"/>
      <w:r w:rsidR="007549EC" w:rsidRPr="007549EC">
        <w:rPr>
          <w:rFonts w:ascii="Arial" w:hAnsi="Arial" w:cs="Arial"/>
          <w:sz w:val="20"/>
          <w:szCs w:val="20"/>
        </w:rPr>
        <w:t xml:space="preserve">, J. A. (2004). Roles of epidermal growth factor receptor activation in epithelial cell repair and </w:t>
      </w:r>
      <w:proofErr w:type="spellStart"/>
      <w:r w:rsidR="007549EC" w:rsidRPr="007549EC">
        <w:rPr>
          <w:rFonts w:ascii="Arial" w:hAnsi="Arial" w:cs="Arial"/>
          <w:sz w:val="20"/>
          <w:szCs w:val="20"/>
        </w:rPr>
        <w:t>mucin</w:t>
      </w:r>
      <w:proofErr w:type="spellEnd"/>
      <w:r w:rsidR="007549EC" w:rsidRPr="007549EC">
        <w:rPr>
          <w:rFonts w:ascii="Arial" w:hAnsi="Arial" w:cs="Arial"/>
          <w:sz w:val="20"/>
          <w:szCs w:val="20"/>
        </w:rPr>
        <w:t xml:space="preserve"> production in airway epithelium. </w:t>
      </w:r>
      <w:r w:rsidR="007549EC" w:rsidRPr="006A4C16">
        <w:rPr>
          <w:rFonts w:ascii="Arial" w:hAnsi="Arial" w:cs="Arial"/>
          <w:i/>
          <w:sz w:val="20"/>
          <w:szCs w:val="20"/>
        </w:rPr>
        <w:t>Thorax</w:t>
      </w:r>
      <w:r w:rsidR="007549EC" w:rsidRPr="007549EC">
        <w:rPr>
          <w:rFonts w:ascii="Arial" w:hAnsi="Arial" w:cs="Arial"/>
          <w:sz w:val="20"/>
          <w:szCs w:val="20"/>
        </w:rPr>
        <w:t xml:space="preserve">, 59(11), 992-996. </w:t>
      </w:r>
      <w:proofErr w:type="spellStart"/>
      <w:proofErr w:type="gramStart"/>
      <w:r w:rsidR="007549EC" w:rsidRPr="007549EC">
        <w:rPr>
          <w:rFonts w:ascii="Arial" w:hAnsi="Arial" w:cs="Arial"/>
          <w:sz w:val="20"/>
          <w:szCs w:val="20"/>
        </w:rPr>
        <w:t>doi</w:t>
      </w:r>
      <w:proofErr w:type="spellEnd"/>
      <w:proofErr w:type="gramEnd"/>
      <w:r w:rsidR="007549EC" w:rsidRPr="007549EC">
        <w:rPr>
          <w:rFonts w:ascii="Arial" w:hAnsi="Arial" w:cs="Arial"/>
          <w:sz w:val="20"/>
          <w:szCs w:val="20"/>
        </w:rPr>
        <w:t xml:space="preserve">: 10.1136/thx.2003.018879 </w:t>
      </w:r>
    </w:p>
    <w:p w:rsidR="006A4C16" w:rsidRDefault="00E141DC" w:rsidP="00836402">
      <w:pPr>
        <w:spacing w:line="360" w:lineRule="auto"/>
        <w:ind w:left="540" w:hanging="540"/>
        <w:rPr>
          <w:rFonts w:ascii="Arial" w:hAnsi="Arial" w:cs="Arial"/>
          <w:sz w:val="20"/>
          <w:szCs w:val="20"/>
        </w:rPr>
      </w:pPr>
      <w:r w:rsidRPr="00685A7C">
        <w:rPr>
          <w:rFonts w:ascii="Arial" w:hAnsi="Arial" w:cs="Arial"/>
          <w:sz w:val="20"/>
          <w:szCs w:val="20"/>
        </w:rPr>
        <w:t>[10</w:t>
      </w:r>
      <w:r w:rsidR="0020716E" w:rsidRPr="00685A7C">
        <w:rPr>
          <w:rFonts w:ascii="Arial" w:hAnsi="Arial" w:cs="Arial"/>
          <w:sz w:val="20"/>
          <w:szCs w:val="20"/>
        </w:rPr>
        <w:t xml:space="preserve">] </w:t>
      </w:r>
      <w:proofErr w:type="spellStart"/>
      <w:r w:rsidR="006A4C16" w:rsidRPr="006A4C16">
        <w:rPr>
          <w:rFonts w:ascii="Arial" w:hAnsi="Arial" w:cs="Arial"/>
          <w:sz w:val="20"/>
          <w:szCs w:val="20"/>
        </w:rPr>
        <w:t>Qiu</w:t>
      </w:r>
      <w:proofErr w:type="spellEnd"/>
      <w:r w:rsidR="006A4C16" w:rsidRPr="006A4C16">
        <w:rPr>
          <w:rFonts w:ascii="Arial" w:hAnsi="Arial" w:cs="Arial"/>
          <w:sz w:val="20"/>
          <w:szCs w:val="20"/>
        </w:rPr>
        <w:t xml:space="preserve">, Q. </w:t>
      </w:r>
      <w:proofErr w:type="gramStart"/>
      <w:r w:rsidR="006A4C16">
        <w:rPr>
          <w:rFonts w:ascii="Arial" w:hAnsi="Arial" w:cs="Arial"/>
          <w:sz w:val="20"/>
          <w:szCs w:val="20"/>
        </w:rPr>
        <w:t>et</w:t>
      </w:r>
      <w:proofErr w:type="gramEnd"/>
      <w:r w:rsidR="006A4C16">
        <w:rPr>
          <w:rFonts w:ascii="Arial" w:hAnsi="Arial" w:cs="Arial"/>
          <w:sz w:val="20"/>
          <w:szCs w:val="20"/>
        </w:rPr>
        <w:t xml:space="preserve">. </w:t>
      </w:r>
      <w:proofErr w:type="gramStart"/>
      <w:r w:rsidR="006A4C16">
        <w:rPr>
          <w:rFonts w:ascii="Arial" w:hAnsi="Arial" w:cs="Arial"/>
          <w:sz w:val="20"/>
          <w:szCs w:val="20"/>
        </w:rPr>
        <w:t>al</w:t>
      </w:r>
      <w:proofErr w:type="gramEnd"/>
      <w:r w:rsidR="006A4C16">
        <w:rPr>
          <w:rFonts w:ascii="Arial" w:hAnsi="Arial" w:cs="Arial"/>
          <w:sz w:val="20"/>
          <w:szCs w:val="20"/>
        </w:rPr>
        <w:t xml:space="preserve"> </w:t>
      </w:r>
      <w:r w:rsidR="006A4C16" w:rsidRPr="006A4C16">
        <w:rPr>
          <w:rFonts w:ascii="Arial" w:hAnsi="Arial" w:cs="Arial"/>
          <w:sz w:val="20"/>
          <w:szCs w:val="20"/>
        </w:rPr>
        <w:t xml:space="preserve">(2008). </w:t>
      </w:r>
      <w:proofErr w:type="gramStart"/>
      <w:r w:rsidR="006A4C16" w:rsidRPr="006A4C16">
        <w:rPr>
          <w:rFonts w:ascii="Arial" w:hAnsi="Arial" w:cs="Arial"/>
          <w:sz w:val="20"/>
          <w:szCs w:val="20"/>
        </w:rPr>
        <w:t>Magnetic enrichment of bronchial epithelial cells from sputum for lung cancer diagnosis.</w:t>
      </w:r>
      <w:proofErr w:type="gramEnd"/>
      <w:r w:rsidR="006A4C16" w:rsidRPr="006A4C16">
        <w:rPr>
          <w:rFonts w:ascii="Arial" w:hAnsi="Arial" w:cs="Arial"/>
          <w:sz w:val="20"/>
          <w:szCs w:val="20"/>
        </w:rPr>
        <w:t xml:space="preserve"> </w:t>
      </w:r>
      <w:r w:rsidR="006A4C16" w:rsidRPr="006A4C16">
        <w:rPr>
          <w:rFonts w:ascii="Arial" w:hAnsi="Arial" w:cs="Arial"/>
          <w:i/>
          <w:sz w:val="20"/>
          <w:szCs w:val="20"/>
        </w:rPr>
        <w:t>Cancer Cytopathology</w:t>
      </w:r>
      <w:r w:rsidR="006A4C16" w:rsidRPr="006A4C16">
        <w:rPr>
          <w:rFonts w:ascii="Arial" w:hAnsi="Arial" w:cs="Arial"/>
          <w:sz w:val="20"/>
          <w:szCs w:val="20"/>
        </w:rPr>
        <w:t xml:space="preserve">, 114(4), 275-283. </w:t>
      </w:r>
      <w:proofErr w:type="spellStart"/>
      <w:proofErr w:type="gramStart"/>
      <w:r w:rsidR="006A4C16" w:rsidRPr="006A4C16">
        <w:rPr>
          <w:rFonts w:ascii="Arial" w:hAnsi="Arial" w:cs="Arial"/>
          <w:sz w:val="20"/>
          <w:szCs w:val="20"/>
        </w:rPr>
        <w:t>doi</w:t>
      </w:r>
      <w:proofErr w:type="spellEnd"/>
      <w:proofErr w:type="gramEnd"/>
      <w:r w:rsidR="006A4C16" w:rsidRPr="006A4C16">
        <w:rPr>
          <w:rFonts w:ascii="Arial" w:hAnsi="Arial" w:cs="Arial"/>
          <w:sz w:val="20"/>
          <w:szCs w:val="20"/>
        </w:rPr>
        <w:t xml:space="preserve">: 10.1002/cncr.23596 </w:t>
      </w:r>
    </w:p>
    <w:p w:rsidR="00C76351" w:rsidRDefault="00E141DC" w:rsidP="00836402">
      <w:pPr>
        <w:spacing w:line="360" w:lineRule="auto"/>
        <w:ind w:left="540" w:hanging="540"/>
        <w:rPr>
          <w:rFonts w:ascii="Arial" w:hAnsi="Arial" w:cs="Arial"/>
          <w:sz w:val="20"/>
          <w:szCs w:val="20"/>
        </w:rPr>
      </w:pPr>
      <w:r w:rsidRPr="00685A7C">
        <w:rPr>
          <w:rFonts w:ascii="Arial" w:hAnsi="Arial" w:cs="Arial"/>
          <w:sz w:val="20"/>
          <w:szCs w:val="20"/>
        </w:rPr>
        <w:t>[11</w:t>
      </w:r>
      <w:r w:rsidR="008132EE" w:rsidRPr="00685A7C">
        <w:rPr>
          <w:rFonts w:ascii="Arial" w:hAnsi="Arial" w:cs="Arial"/>
          <w:sz w:val="20"/>
          <w:szCs w:val="20"/>
        </w:rPr>
        <w:t xml:space="preserve">] </w:t>
      </w:r>
      <w:r w:rsidR="00C76351" w:rsidRPr="00C76351">
        <w:rPr>
          <w:rFonts w:ascii="Arial" w:hAnsi="Arial" w:cs="Arial"/>
          <w:sz w:val="20"/>
          <w:szCs w:val="20"/>
        </w:rPr>
        <w:t xml:space="preserve">Li, R. </w:t>
      </w:r>
      <w:proofErr w:type="gramStart"/>
      <w:r w:rsidR="00F4074C">
        <w:rPr>
          <w:rFonts w:ascii="Arial" w:hAnsi="Arial" w:cs="Arial"/>
          <w:sz w:val="20"/>
          <w:szCs w:val="20"/>
        </w:rPr>
        <w:t>et</w:t>
      </w:r>
      <w:proofErr w:type="gramEnd"/>
      <w:r w:rsidR="00F4074C">
        <w:rPr>
          <w:rFonts w:ascii="Arial" w:hAnsi="Arial" w:cs="Arial"/>
          <w:sz w:val="20"/>
          <w:szCs w:val="20"/>
        </w:rPr>
        <w:t xml:space="preserve">. </w:t>
      </w:r>
      <w:proofErr w:type="gramStart"/>
      <w:r w:rsidR="00F4074C">
        <w:rPr>
          <w:rFonts w:ascii="Arial" w:hAnsi="Arial" w:cs="Arial"/>
          <w:sz w:val="20"/>
          <w:szCs w:val="20"/>
        </w:rPr>
        <w:t>al</w:t>
      </w:r>
      <w:proofErr w:type="gramEnd"/>
      <w:r w:rsidR="00F4074C">
        <w:rPr>
          <w:rFonts w:ascii="Arial" w:hAnsi="Arial" w:cs="Arial"/>
          <w:sz w:val="20"/>
          <w:szCs w:val="20"/>
        </w:rPr>
        <w:t xml:space="preserve"> </w:t>
      </w:r>
      <w:r w:rsidR="00C76351" w:rsidRPr="00C76351">
        <w:rPr>
          <w:rFonts w:ascii="Arial" w:hAnsi="Arial" w:cs="Arial"/>
          <w:sz w:val="20"/>
          <w:szCs w:val="20"/>
        </w:rPr>
        <w:t xml:space="preserve">(2007). Genetic deletions in sputum as diagnostic markers for early detection of stage </w:t>
      </w:r>
      <w:proofErr w:type="spellStart"/>
      <w:r w:rsidR="00C76351" w:rsidRPr="00C76351">
        <w:rPr>
          <w:rFonts w:ascii="Arial" w:hAnsi="Arial" w:cs="Arial"/>
          <w:sz w:val="20"/>
          <w:szCs w:val="20"/>
        </w:rPr>
        <w:t>i</w:t>
      </w:r>
      <w:proofErr w:type="spellEnd"/>
      <w:r w:rsidR="00C76351" w:rsidRPr="00C76351">
        <w:rPr>
          <w:rFonts w:ascii="Arial" w:hAnsi="Arial" w:cs="Arial"/>
          <w:sz w:val="20"/>
          <w:szCs w:val="20"/>
        </w:rPr>
        <w:t xml:space="preserve"> non-small cell lung cancer. </w:t>
      </w:r>
      <w:r w:rsidR="00C76351" w:rsidRPr="00C76351">
        <w:rPr>
          <w:rFonts w:ascii="Arial" w:hAnsi="Arial" w:cs="Arial"/>
          <w:i/>
          <w:sz w:val="20"/>
          <w:szCs w:val="20"/>
        </w:rPr>
        <w:t>Clinical Cancer Research</w:t>
      </w:r>
      <w:r w:rsidR="00C76351" w:rsidRPr="00C76351">
        <w:rPr>
          <w:rFonts w:ascii="Arial" w:hAnsi="Arial" w:cs="Arial"/>
          <w:sz w:val="20"/>
          <w:szCs w:val="20"/>
        </w:rPr>
        <w:t xml:space="preserve">, 13, 482-487. </w:t>
      </w:r>
      <w:proofErr w:type="spellStart"/>
      <w:proofErr w:type="gramStart"/>
      <w:r w:rsidR="00C76351" w:rsidRPr="00C76351">
        <w:rPr>
          <w:rFonts w:ascii="Arial" w:hAnsi="Arial" w:cs="Arial"/>
          <w:sz w:val="20"/>
          <w:szCs w:val="20"/>
        </w:rPr>
        <w:t>doi</w:t>
      </w:r>
      <w:proofErr w:type="spellEnd"/>
      <w:proofErr w:type="gramEnd"/>
      <w:r w:rsidR="00C76351" w:rsidRPr="00C76351">
        <w:rPr>
          <w:rFonts w:ascii="Arial" w:hAnsi="Arial" w:cs="Arial"/>
          <w:sz w:val="20"/>
          <w:szCs w:val="20"/>
        </w:rPr>
        <w:t xml:space="preserve">: 10.1158/1078-0432.CCR-06-1593 </w:t>
      </w:r>
    </w:p>
    <w:p w:rsidR="00C76351" w:rsidRDefault="00E141DC" w:rsidP="00836402">
      <w:pPr>
        <w:spacing w:line="360" w:lineRule="auto"/>
        <w:ind w:left="540" w:hanging="540"/>
        <w:rPr>
          <w:rFonts w:ascii="Arial" w:hAnsi="Arial" w:cs="Arial"/>
          <w:sz w:val="20"/>
          <w:szCs w:val="20"/>
        </w:rPr>
      </w:pPr>
      <w:r w:rsidRPr="00685A7C">
        <w:rPr>
          <w:rFonts w:ascii="Arial" w:hAnsi="Arial" w:cs="Arial"/>
          <w:sz w:val="20"/>
          <w:szCs w:val="20"/>
        </w:rPr>
        <w:t>[12</w:t>
      </w:r>
      <w:r w:rsidR="006718A6" w:rsidRPr="00685A7C">
        <w:rPr>
          <w:rFonts w:ascii="Arial" w:hAnsi="Arial" w:cs="Arial"/>
          <w:sz w:val="20"/>
          <w:szCs w:val="20"/>
        </w:rPr>
        <w:t xml:space="preserve">] </w:t>
      </w:r>
      <w:r w:rsidR="00C76351" w:rsidRPr="00C76351">
        <w:rPr>
          <w:rFonts w:ascii="Arial" w:hAnsi="Arial" w:cs="Arial"/>
          <w:sz w:val="20"/>
          <w:szCs w:val="20"/>
        </w:rPr>
        <w:t xml:space="preserve">Jiang, F., Todd, N. W., Li, R., Zhang, H., Fang, H. B., &amp; </w:t>
      </w:r>
      <w:proofErr w:type="spellStart"/>
      <w:r w:rsidR="00C76351" w:rsidRPr="00C76351">
        <w:rPr>
          <w:rFonts w:ascii="Arial" w:hAnsi="Arial" w:cs="Arial"/>
          <w:sz w:val="20"/>
          <w:szCs w:val="20"/>
        </w:rPr>
        <w:t>Stass</w:t>
      </w:r>
      <w:proofErr w:type="spellEnd"/>
      <w:r w:rsidR="00C76351" w:rsidRPr="00C76351">
        <w:rPr>
          <w:rFonts w:ascii="Arial" w:hAnsi="Arial" w:cs="Arial"/>
          <w:sz w:val="20"/>
          <w:szCs w:val="20"/>
        </w:rPr>
        <w:t xml:space="preserve">, S. A. (2010). </w:t>
      </w:r>
      <w:proofErr w:type="gramStart"/>
      <w:r w:rsidR="00C76351" w:rsidRPr="00C76351">
        <w:rPr>
          <w:rFonts w:ascii="Arial" w:hAnsi="Arial" w:cs="Arial"/>
          <w:sz w:val="20"/>
          <w:szCs w:val="20"/>
        </w:rPr>
        <w:t>A panel of sputum-based genomic marker for early detection of lung cancer.</w:t>
      </w:r>
      <w:proofErr w:type="gramEnd"/>
      <w:r w:rsidR="00C76351" w:rsidRPr="00C76351">
        <w:rPr>
          <w:rFonts w:ascii="Arial" w:hAnsi="Arial" w:cs="Arial"/>
          <w:sz w:val="20"/>
          <w:szCs w:val="20"/>
        </w:rPr>
        <w:t xml:space="preserve"> </w:t>
      </w:r>
      <w:r w:rsidR="00C76351" w:rsidRPr="00C76351">
        <w:rPr>
          <w:rFonts w:ascii="Arial" w:hAnsi="Arial" w:cs="Arial"/>
          <w:i/>
          <w:sz w:val="20"/>
          <w:szCs w:val="20"/>
        </w:rPr>
        <w:t>Cancer Prevention Research</w:t>
      </w:r>
      <w:r w:rsidR="00C76351" w:rsidRPr="00C76351">
        <w:rPr>
          <w:rFonts w:ascii="Arial" w:hAnsi="Arial" w:cs="Arial"/>
          <w:sz w:val="20"/>
          <w:szCs w:val="20"/>
        </w:rPr>
        <w:t xml:space="preserve">, 3, 1571-1578. </w:t>
      </w:r>
    </w:p>
    <w:p w:rsidR="00F4074C" w:rsidRDefault="00E141DC" w:rsidP="00836402">
      <w:pPr>
        <w:spacing w:line="360" w:lineRule="auto"/>
        <w:ind w:left="540" w:hanging="540"/>
        <w:rPr>
          <w:rFonts w:ascii="Arial" w:hAnsi="Arial" w:cs="Arial"/>
          <w:sz w:val="20"/>
          <w:szCs w:val="20"/>
        </w:rPr>
      </w:pPr>
      <w:r w:rsidRPr="00685A7C">
        <w:rPr>
          <w:rFonts w:ascii="Arial" w:hAnsi="Arial" w:cs="Arial"/>
          <w:sz w:val="20"/>
          <w:szCs w:val="20"/>
        </w:rPr>
        <w:lastRenderedPageBreak/>
        <w:t>[13</w:t>
      </w:r>
      <w:r w:rsidR="005A3470">
        <w:rPr>
          <w:rFonts w:ascii="Arial" w:hAnsi="Arial" w:cs="Arial"/>
          <w:sz w:val="20"/>
          <w:szCs w:val="20"/>
        </w:rPr>
        <w:t>]</w:t>
      </w:r>
      <w:r w:rsidR="00231EAA" w:rsidRPr="00685A7C">
        <w:rPr>
          <w:rFonts w:ascii="Arial" w:hAnsi="Arial" w:cs="Arial"/>
          <w:sz w:val="20"/>
          <w:szCs w:val="20"/>
        </w:rPr>
        <w:t xml:space="preserve"> </w:t>
      </w:r>
      <w:r w:rsidR="00F4074C" w:rsidRPr="00F4074C">
        <w:rPr>
          <w:rFonts w:ascii="Arial" w:hAnsi="Arial" w:cs="Arial"/>
          <w:sz w:val="20"/>
          <w:szCs w:val="20"/>
        </w:rPr>
        <w:t xml:space="preserve">Ellison, G., Zhu, G., </w:t>
      </w:r>
      <w:proofErr w:type="spellStart"/>
      <w:r w:rsidR="00F4074C" w:rsidRPr="00F4074C">
        <w:rPr>
          <w:rFonts w:ascii="Arial" w:hAnsi="Arial" w:cs="Arial"/>
          <w:sz w:val="20"/>
          <w:szCs w:val="20"/>
        </w:rPr>
        <w:t>Moulis</w:t>
      </w:r>
      <w:proofErr w:type="spellEnd"/>
      <w:r w:rsidR="00F4074C" w:rsidRPr="00F4074C">
        <w:rPr>
          <w:rFonts w:ascii="Arial" w:hAnsi="Arial" w:cs="Arial"/>
          <w:sz w:val="20"/>
          <w:szCs w:val="20"/>
        </w:rPr>
        <w:t xml:space="preserve">, A., </w:t>
      </w:r>
      <w:proofErr w:type="spellStart"/>
      <w:r w:rsidR="00F4074C" w:rsidRPr="00F4074C">
        <w:rPr>
          <w:rFonts w:ascii="Arial" w:hAnsi="Arial" w:cs="Arial"/>
          <w:sz w:val="20"/>
          <w:szCs w:val="20"/>
        </w:rPr>
        <w:t>Dearden</w:t>
      </w:r>
      <w:proofErr w:type="spellEnd"/>
      <w:r w:rsidR="00F4074C" w:rsidRPr="00F4074C">
        <w:rPr>
          <w:rFonts w:ascii="Arial" w:hAnsi="Arial" w:cs="Arial"/>
          <w:sz w:val="20"/>
          <w:szCs w:val="20"/>
        </w:rPr>
        <w:t xml:space="preserve">, S., </w:t>
      </w:r>
      <w:proofErr w:type="spellStart"/>
      <w:r w:rsidR="00F4074C" w:rsidRPr="00F4074C">
        <w:rPr>
          <w:rFonts w:ascii="Arial" w:hAnsi="Arial" w:cs="Arial"/>
          <w:sz w:val="20"/>
          <w:szCs w:val="20"/>
        </w:rPr>
        <w:t>Speake</w:t>
      </w:r>
      <w:proofErr w:type="spellEnd"/>
      <w:r w:rsidR="00F4074C" w:rsidRPr="00F4074C">
        <w:rPr>
          <w:rFonts w:ascii="Arial" w:hAnsi="Arial" w:cs="Arial"/>
          <w:sz w:val="20"/>
          <w:szCs w:val="20"/>
        </w:rPr>
        <w:t xml:space="preserve">, G., &amp; McCormack, R. (2013). </w:t>
      </w:r>
      <w:proofErr w:type="spellStart"/>
      <w:r w:rsidR="00F4074C" w:rsidRPr="00F4074C">
        <w:rPr>
          <w:rFonts w:ascii="Arial" w:hAnsi="Arial" w:cs="Arial"/>
          <w:sz w:val="20"/>
          <w:szCs w:val="20"/>
        </w:rPr>
        <w:t>Egfr</w:t>
      </w:r>
      <w:proofErr w:type="spellEnd"/>
      <w:r w:rsidR="00F4074C" w:rsidRPr="00F4074C">
        <w:rPr>
          <w:rFonts w:ascii="Arial" w:hAnsi="Arial" w:cs="Arial"/>
          <w:sz w:val="20"/>
          <w:szCs w:val="20"/>
        </w:rPr>
        <w:t xml:space="preserve"> mutation testing in lung cancer: a review of available methods and their use for analysis of tumor tissue and cytology samples. </w:t>
      </w:r>
      <w:r w:rsidR="00F4074C" w:rsidRPr="00F4074C">
        <w:rPr>
          <w:rFonts w:ascii="Arial" w:hAnsi="Arial" w:cs="Arial"/>
          <w:i/>
          <w:sz w:val="20"/>
          <w:szCs w:val="20"/>
        </w:rPr>
        <w:t>Journal of Clinical Pathology</w:t>
      </w:r>
      <w:r w:rsidR="00F4074C" w:rsidRPr="00F4074C">
        <w:rPr>
          <w:rFonts w:ascii="Arial" w:hAnsi="Arial" w:cs="Arial"/>
          <w:sz w:val="20"/>
          <w:szCs w:val="20"/>
        </w:rPr>
        <w:t xml:space="preserve">, 66(2), 79-89. </w:t>
      </w:r>
      <w:proofErr w:type="spellStart"/>
      <w:proofErr w:type="gramStart"/>
      <w:r w:rsidR="00F4074C" w:rsidRPr="00F4074C">
        <w:rPr>
          <w:rFonts w:ascii="Arial" w:hAnsi="Arial" w:cs="Arial"/>
          <w:sz w:val="20"/>
          <w:szCs w:val="20"/>
        </w:rPr>
        <w:t>doi</w:t>
      </w:r>
      <w:proofErr w:type="spellEnd"/>
      <w:proofErr w:type="gramEnd"/>
      <w:r w:rsidR="00F4074C" w:rsidRPr="00F4074C">
        <w:rPr>
          <w:rFonts w:ascii="Arial" w:hAnsi="Arial" w:cs="Arial"/>
          <w:sz w:val="20"/>
          <w:szCs w:val="20"/>
        </w:rPr>
        <w:t xml:space="preserve">: 10.1136/jclinpath-2012-201194 </w:t>
      </w:r>
    </w:p>
    <w:p w:rsidR="00F4074C" w:rsidRDefault="005A3470" w:rsidP="00836402">
      <w:pPr>
        <w:spacing w:line="360" w:lineRule="auto"/>
        <w:ind w:left="540" w:hanging="540"/>
        <w:rPr>
          <w:rFonts w:ascii="Arial" w:hAnsi="Arial" w:cs="Arial"/>
          <w:sz w:val="20"/>
          <w:szCs w:val="20"/>
        </w:rPr>
      </w:pPr>
      <w:r>
        <w:rPr>
          <w:rFonts w:ascii="Arial" w:hAnsi="Arial" w:cs="Arial"/>
          <w:sz w:val="20"/>
          <w:szCs w:val="20"/>
        </w:rPr>
        <w:t>[14</w:t>
      </w:r>
      <w:r w:rsidR="00A80BD4" w:rsidRPr="00685A7C">
        <w:rPr>
          <w:rFonts w:ascii="Arial" w:hAnsi="Arial" w:cs="Arial"/>
          <w:sz w:val="20"/>
          <w:szCs w:val="20"/>
        </w:rPr>
        <w:t xml:space="preserve">] </w:t>
      </w:r>
      <w:proofErr w:type="spellStart"/>
      <w:r w:rsidR="00F4074C" w:rsidRPr="00F4074C">
        <w:rPr>
          <w:rFonts w:ascii="Arial" w:hAnsi="Arial" w:cs="Arial"/>
          <w:sz w:val="20"/>
          <w:szCs w:val="20"/>
        </w:rPr>
        <w:t>Sueoka</w:t>
      </w:r>
      <w:proofErr w:type="spellEnd"/>
      <w:r w:rsidR="00F4074C" w:rsidRPr="00F4074C">
        <w:rPr>
          <w:rFonts w:ascii="Arial" w:hAnsi="Arial" w:cs="Arial"/>
          <w:sz w:val="20"/>
          <w:szCs w:val="20"/>
        </w:rPr>
        <w:t xml:space="preserve">, N. </w:t>
      </w:r>
      <w:proofErr w:type="gramStart"/>
      <w:r w:rsidR="00F4074C">
        <w:rPr>
          <w:rFonts w:ascii="Arial" w:hAnsi="Arial" w:cs="Arial"/>
          <w:sz w:val="20"/>
          <w:szCs w:val="20"/>
        </w:rPr>
        <w:t>et</w:t>
      </w:r>
      <w:proofErr w:type="gramEnd"/>
      <w:r w:rsidR="00F4074C">
        <w:rPr>
          <w:rFonts w:ascii="Arial" w:hAnsi="Arial" w:cs="Arial"/>
          <w:sz w:val="20"/>
          <w:szCs w:val="20"/>
        </w:rPr>
        <w:t xml:space="preserve">. </w:t>
      </w:r>
      <w:proofErr w:type="gramStart"/>
      <w:r w:rsidR="00F4074C">
        <w:rPr>
          <w:rFonts w:ascii="Arial" w:hAnsi="Arial" w:cs="Arial"/>
          <w:sz w:val="20"/>
          <w:szCs w:val="20"/>
        </w:rPr>
        <w:t>al</w:t>
      </w:r>
      <w:proofErr w:type="gramEnd"/>
      <w:r w:rsidR="00F4074C">
        <w:rPr>
          <w:rFonts w:ascii="Arial" w:hAnsi="Arial" w:cs="Arial"/>
          <w:sz w:val="20"/>
          <w:szCs w:val="20"/>
        </w:rPr>
        <w:t xml:space="preserve"> </w:t>
      </w:r>
      <w:r w:rsidR="00F4074C" w:rsidRPr="00F4074C">
        <w:rPr>
          <w:rFonts w:ascii="Arial" w:hAnsi="Arial" w:cs="Arial"/>
          <w:sz w:val="20"/>
          <w:szCs w:val="20"/>
        </w:rPr>
        <w:t xml:space="preserve">(2007). Mutation profile of </w:t>
      </w:r>
      <w:proofErr w:type="spellStart"/>
      <w:r w:rsidR="00F4074C" w:rsidRPr="00F4074C">
        <w:rPr>
          <w:rFonts w:ascii="Arial" w:hAnsi="Arial" w:cs="Arial"/>
          <w:sz w:val="20"/>
          <w:szCs w:val="20"/>
        </w:rPr>
        <w:t>egfr</w:t>
      </w:r>
      <w:proofErr w:type="spellEnd"/>
      <w:r w:rsidR="00F4074C" w:rsidRPr="00F4074C">
        <w:rPr>
          <w:rFonts w:ascii="Arial" w:hAnsi="Arial" w:cs="Arial"/>
          <w:sz w:val="20"/>
          <w:szCs w:val="20"/>
        </w:rPr>
        <w:t xml:space="preserve"> gene detected by denaturing high-performance liquid chromatography in </w:t>
      </w:r>
      <w:proofErr w:type="spellStart"/>
      <w:proofErr w:type="gramStart"/>
      <w:r w:rsidR="00F4074C" w:rsidRPr="00F4074C">
        <w:rPr>
          <w:rFonts w:ascii="Arial" w:hAnsi="Arial" w:cs="Arial"/>
          <w:sz w:val="20"/>
          <w:szCs w:val="20"/>
        </w:rPr>
        <w:t>japanese</w:t>
      </w:r>
      <w:proofErr w:type="spellEnd"/>
      <w:proofErr w:type="gramEnd"/>
      <w:r w:rsidR="00F4074C" w:rsidRPr="00F4074C">
        <w:rPr>
          <w:rFonts w:ascii="Arial" w:hAnsi="Arial" w:cs="Arial"/>
          <w:sz w:val="20"/>
          <w:szCs w:val="20"/>
        </w:rPr>
        <w:t xml:space="preserve"> lung cancer patients. </w:t>
      </w:r>
      <w:r w:rsidR="00F4074C" w:rsidRPr="00F4074C">
        <w:rPr>
          <w:rFonts w:ascii="Arial" w:hAnsi="Arial" w:cs="Arial"/>
          <w:i/>
          <w:sz w:val="20"/>
          <w:szCs w:val="20"/>
        </w:rPr>
        <w:t>Journal of Cancer Research and Clinical Oncology</w:t>
      </w:r>
      <w:r w:rsidR="00F4074C" w:rsidRPr="00F4074C">
        <w:rPr>
          <w:rFonts w:ascii="Arial" w:hAnsi="Arial" w:cs="Arial"/>
          <w:sz w:val="20"/>
          <w:szCs w:val="20"/>
        </w:rPr>
        <w:t xml:space="preserve">, 133(2), 93-102. </w:t>
      </w:r>
    </w:p>
    <w:p w:rsidR="00984487" w:rsidRPr="00685A7C" w:rsidRDefault="005A3470" w:rsidP="00836402">
      <w:pPr>
        <w:spacing w:line="360" w:lineRule="auto"/>
        <w:ind w:left="540" w:hanging="540"/>
        <w:rPr>
          <w:rFonts w:ascii="Arial" w:hAnsi="Arial" w:cs="Arial"/>
          <w:sz w:val="20"/>
          <w:szCs w:val="20"/>
        </w:rPr>
      </w:pPr>
      <w:r>
        <w:rPr>
          <w:rFonts w:ascii="Arial" w:hAnsi="Arial" w:cs="Arial"/>
          <w:sz w:val="20"/>
          <w:szCs w:val="20"/>
        </w:rPr>
        <w:t>[15</w:t>
      </w:r>
      <w:r w:rsidR="009A37DB" w:rsidRPr="00685A7C">
        <w:rPr>
          <w:rFonts w:ascii="Arial" w:hAnsi="Arial" w:cs="Arial"/>
          <w:sz w:val="20"/>
          <w:szCs w:val="20"/>
        </w:rPr>
        <w:t xml:space="preserve">] </w:t>
      </w:r>
      <w:r w:rsidR="009763A4" w:rsidRPr="009763A4">
        <w:rPr>
          <w:rFonts w:ascii="Arial" w:hAnsi="Arial" w:cs="Arial"/>
          <w:sz w:val="20"/>
          <w:szCs w:val="20"/>
        </w:rPr>
        <w:t xml:space="preserve">Kim, J. Y., Cho, S. W., Kang, D. K., </w:t>
      </w:r>
      <w:proofErr w:type="spellStart"/>
      <w:r w:rsidR="009763A4" w:rsidRPr="009763A4">
        <w:rPr>
          <w:rFonts w:ascii="Arial" w:hAnsi="Arial" w:cs="Arial"/>
          <w:sz w:val="20"/>
          <w:szCs w:val="20"/>
        </w:rPr>
        <w:t>Edel</w:t>
      </w:r>
      <w:proofErr w:type="spellEnd"/>
      <w:r w:rsidR="009763A4" w:rsidRPr="009763A4">
        <w:rPr>
          <w:rFonts w:ascii="Arial" w:hAnsi="Arial" w:cs="Arial"/>
          <w:sz w:val="20"/>
          <w:szCs w:val="20"/>
        </w:rPr>
        <w:t xml:space="preserve">, J. B., Chang, S. I., </w:t>
      </w:r>
      <w:proofErr w:type="spellStart"/>
      <w:r w:rsidR="009763A4" w:rsidRPr="009763A4">
        <w:rPr>
          <w:rFonts w:ascii="Arial" w:hAnsi="Arial" w:cs="Arial"/>
          <w:sz w:val="20"/>
          <w:szCs w:val="20"/>
        </w:rPr>
        <w:t>deMello</w:t>
      </w:r>
      <w:proofErr w:type="spellEnd"/>
      <w:r w:rsidR="009763A4" w:rsidRPr="009763A4">
        <w:rPr>
          <w:rFonts w:ascii="Arial" w:hAnsi="Arial" w:cs="Arial"/>
          <w:sz w:val="20"/>
          <w:szCs w:val="20"/>
        </w:rPr>
        <w:t xml:space="preserve">, A. J., &amp; O'Hare, D. (2012). </w:t>
      </w:r>
      <w:proofErr w:type="gramStart"/>
      <w:r w:rsidR="009763A4" w:rsidRPr="009763A4">
        <w:rPr>
          <w:rFonts w:ascii="Arial" w:hAnsi="Arial" w:cs="Arial"/>
          <w:sz w:val="20"/>
          <w:szCs w:val="20"/>
        </w:rPr>
        <w:t xml:space="preserve">Lab-chip </w:t>
      </w:r>
      <w:proofErr w:type="spellStart"/>
      <w:r w:rsidR="009763A4" w:rsidRPr="009763A4">
        <w:rPr>
          <w:rFonts w:ascii="Arial" w:hAnsi="Arial" w:cs="Arial"/>
          <w:sz w:val="20"/>
          <w:szCs w:val="20"/>
        </w:rPr>
        <w:t>hplc</w:t>
      </w:r>
      <w:proofErr w:type="spellEnd"/>
      <w:r w:rsidR="009763A4" w:rsidRPr="009763A4">
        <w:rPr>
          <w:rFonts w:ascii="Arial" w:hAnsi="Arial" w:cs="Arial"/>
          <w:sz w:val="20"/>
          <w:szCs w:val="20"/>
        </w:rPr>
        <w:t xml:space="preserve"> with integrated droplet-based microfluidics for separation and high frequency </w:t>
      </w:r>
      <w:proofErr w:type="spellStart"/>
      <w:r w:rsidR="009763A4" w:rsidRPr="009763A4">
        <w:rPr>
          <w:rFonts w:ascii="Arial" w:hAnsi="Arial" w:cs="Arial"/>
          <w:sz w:val="20"/>
          <w:szCs w:val="20"/>
        </w:rPr>
        <w:t>compartmentalisation</w:t>
      </w:r>
      <w:proofErr w:type="spellEnd"/>
      <w:r w:rsidR="009763A4" w:rsidRPr="009763A4">
        <w:rPr>
          <w:rFonts w:ascii="Arial" w:hAnsi="Arial" w:cs="Arial"/>
          <w:sz w:val="20"/>
          <w:szCs w:val="20"/>
        </w:rPr>
        <w:t>.</w:t>
      </w:r>
      <w:proofErr w:type="gramEnd"/>
      <w:r w:rsidR="009763A4" w:rsidRPr="009763A4">
        <w:rPr>
          <w:rFonts w:ascii="Arial" w:hAnsi="Arial" w:cs="Arial"/>
          <w:sz w:val="20"/>
          <w:szCs w:val="20"/>
        </w:rPr>
        <w:t xml:space="preserve"> </w:t>
      </w:r>
      <w:r w:rsidR="009763A4" w:rsidRPr="00984487">
        <w:rPr>
          <w:rFonts w:ascii="Arial" w:hAnsi="Arial" w:cs="Arial"/>
          <w:i/>
          <w:sz w:val="20"/>
          <w:szCs w:val="20"/>
        </w:rPr>
        <w:t>Chemical Communications</w:t>
      </w:r>
      <w:r w:rsidR="009763A4" w:rsidRPr="009763A4">
        <w:rPr>
          <w:rFonts w:ascii="Arial" w:hAnsi="Arial" w:cs="Arial"/>
          <w:sz w:val="20"/>
          <w:szCs w:val="20"/>
        </w:rPr>
        <w:t xml:space="preserve">, 48(73), 9144-9146. </w:t>
      </w:r>
      <w:proofErr w:type="spellStart"/>
      <w:proofErr w:type="gramStart"/>
      <w:r w:rsidR="009763A4" w:rsidRPr="009763A4">
        <w:rPr>
          <w:rFonts w:ascii="Arial" w:hAnsi="Arial" w:cs="Arial"/>
          <w:sz w:val="20"/>
          <w:szCs w:val="20"/>
        </w:rPr>
        <w:t>doi</w:t>
      </w:r>
      <w:proofErr w:type="spellEnd"/>
      <w:proofErr w:type="gramEnd"/>
      <w:r w:rsidR="009763A4" w:rsidRPr="009763A4">
        <w:rPr>
          <w:rFonts w:ascii="Arial" w:hAnsi="Arial" w:cs="Arial"/>
          <w:sz w:val="20"/>
          <w:szCs w:val="20"/>
        </w:rPr>
        <w:t>: 10.1039/C2CC33774F</w:t>
      </w:r>
    </w:p>
    <w:p w:rsidR="009A37DB" w:rsidRPr="00685A7C" w:rsidRDefault="005A3470" w:rsidP="00836402">
      <w:pPr>
        <w:spacing w:line="360" w:lineRule="auto"/>
        <w:ind w:left="540" w:hanging="540"/>
        <w:rPr>
          <w:rFonts w:ascii="Arial" w:hAnsi="Arial" w:cs="Arial"/>
          <w:sz w:val="20"/>
          <w:szCs w:val="20"/>
        </w:rPr>
      </w:pPr>
      <w:r>
        <w:rPr>
          <w:rFonts w:ascii="Arial" w:hAnsi="Arial" w:cs="Arial"/>
          <w:sz w:val="20"/>
          <w:szCs w:val="20"/>
        </w:rPr>
        <w:t>[16</w:t>
      </w:r>
      <w:r w:rsidR="009A37DB" w:rsidRPr="00685A7C">
        <w:rPr>
          <w:rFonts w:ascii="Arial" w:hAnsi="Arial" w:cs="Arial"/>
          <w:sz w:val="20"/>
          <w:szCs w:val="20"/>
        </w:rPr>
        <w:t xml:space="preserve">] </w:t>
      </w:r>
      <w:proofErr w:type="spellStart"/>
      <w:r w:rsidR="00984487" w:rsidRPr="00984487">
        <w:rPr>
          <w:rFonts w:ascii="Arial" w:hAnsi="Arial" w:cs="Arial"/>
          <w:sz w:val="20"/>
          <w:szCs w:val="20"/>
        </w:rPr>
        <w:t>Querings</w:t>
      </w:r>
      <w:proofErr w:type="spellEnd"/>
      <w:r w:rsidR="00984487" w:rsidRPr="00984487">
        <w:rPr>
          <w:rFonts w:ascii="Arial" w:hAnsi="Arial" w:cs="Arial"/>
          <w:sz w:val="20"/>
          <w:szCs w:val="20"/>
        </w:rPr>
        <w:t xml:space="preserve">, S. </w:t>
      </w:r>
      <w:proofErr w:type="gramStart"/>
      <w:r w:rsidR="00984487">
        <w:rPr>
          <w:rFonts w:ascii="Arial" w:hAnsi="Arial" w:cs="Arial"/>
          <w:sz w:val="20"/>
          <w:szCs w:val="20"/>
        </w:rPr>
        <w:t>et</w:t>
      </w:r>
      <w:proofErr w:type="gramEnd"/>
      <w:r w:rsidR="00984487">
        <w:rPr>
          <w:rFonts w:ascii="Arial" w:hAnsi="Arial" w:cs="Arial"/>
          <w:sz w:val="20"/>
          <w:szCs w:val="20"/>
        </w:rPr>
        <w:t xml:space="preserve">. </w:t>
      </w:r>
      <w:proofErr w:type="gramStart"/>
      <w:r w:rsidR="00984487">
        <w:rPr>
          <w:rFonts w:ascii="Arial" w:hAnsi="Arial" w:cs="Arial"/>
          <w:sz w:val="20"/>
          <w:szCs w:val="20"/>
        </w:rPr>
        <w:t>al</w:t>
      </w:r>
      <w:proofErr w:type="gramEnd"/>
      <w:r w:rsidR="00984487">
        <w:rPr>
          <w:rFonts w:ascii="Arial" w:hAnsi="Arial" w:cs="Arial"/>
          <w:sz w:val="20"/>
          <w:szCs w:val="20"/>
        </w:rPr>
        <w:t xml:space="preserve"> </w:t>
      </w:r>
      <w:r w:rsidR="00984487" w:rsidRPr="00984487">
        <w:rPr>
          <w:rFonts w:ascii="Arial" w:hAnsi="Arial" w:cs="Arial"/>
          <w:sz w:val="20"/>
          <w:szCs w:val="20"/>
        </w:rPr>
        <w:t xml:space="preserve">(2011). </w:t>
      </w:r>
      <w:proofErr w:type="gramStart"/>
      <w:r w:rsidR="00984487" w:rsidRPr="00984487">
        <w:rPr>
          <w:rFonts w:ascii="Arial" w:hAnsi="Arial" w:cs="Arial"/>
          <w:sz w:val="20"/>
          <w:szCs w:val="20"/>
        </w:rPr>
        <w:t>Benchmarking of mutation diagnostics in clinical lung cancer specimens.</w:t>
      </w:r>
      <w:proofErr w:type="gramEnd"/>
      <w:r w:rsidR="00984487" w:rsidRPr="00984487">
        <w:rPr>
          <w:rFonts w:ascii="Arial" w:hAnsi="Arial" w:cs="Arial"/>
          <w:sz w:val="20"/>
          <w:szCs w:val="20"/>
        </w:rPr>
        <w:t xml:space="preserve"> PLOS ONE, 6(5), </w:t>
      </w:r>
      <w:proofErr w:type="spellStart"/>
      <w:r w:rsidR="00984487" w:rsidRPr="00984487">
        <w:rPr>
          <w:rFonts w:ascii="Arial" w:hAnsi="Arial" w:cs="Arial"/>
          <w:sz w:val="20"/>
          <w:szCs w:val="20"/>
        </w:rPr>
        <w:t>doi</w:t>
      </w:r>
      <w:proofErr w:type="spellEnd"/>
      <w:r w:rsidR="00984487" w:rsidRPr="00984487">
        <w:rPr>
          <w:rFonts w:ascii="Arial" w:hAnsi="Arial" w:cs="Arial"/>
          <w:sz w:val="20"/>
          <w:szCs w:val="20"/>
        </w:rPr>
        <w:t>: 10.1371/journal.pone.0019601</w:t>
      </w:r>
    </w:p>
    <w:p w:rsidR="00984487" w:rsidRPr="00984487" w:rsidRDefault="005A3470" w:rsidP="00836402">
      <w:pPr>
        <w:spacing w:line="360" w:lineRule="auto"/>
        <w:ind w:left="540" w:hanging="540"/>
        <w:rPr>
          <w:rFonts w:ascii="Arial" w:hAnsi="Arial" w:cs="Arial"/>
          <w:sz w:val="20"/>
          <w:szCs w:val="20"/>
        </w:rPr>
      </w:pPr>
      <w:r w:rsidRPr="00984487">
        <w:rPr>
          <w:rFonts w:ascii="Arial" w:hAnsi="Arial" w:cs="Arial"/>
          <w:sz w:val="20"/>
          <w:szCs w:val="20"/>
        </w:rPr>
        <w:t>[17</w:t>
      </w:r>
      <w:r w:rsidR="009A37DB" w:rsidRPr="00984487">
        <w:rPr>
          <w:rFonts w:ascii="Arial" w:hAnsi="Arial" w:cs="Arial"/>
          <w:sz w:val="20"/>
          <w:szCs w:val="20"/>
        </w:rPr>
        <w:t xml:space="preserve">] </w:t>
      </w:r>
      <w:proofErr w:type="spellStart"/>
      <w:r w:rsidR="00984487" w:rsidRPr="00984487">
        <w:rPr>
          <w:rFonts w:ascii="Arial" w:hAnsi="Arial" w:cs="Arial"/>
          <w:color w:val="000000"/>
          <w:sz w:val="20"/>
          <w:szCs w:val="20"/>
          <w:shd w:val="clear" w:color="auto" w:fill="FFFFFF"/>
        </w:rPr>
        <w:t>Borras</w:t>
      </w:r>
      <w:proofErr w:type="spellEnd"/>
      <w:r w:rsidR="00984487" w:rsidRPr="00984487">
        <w:rPr>
          <w:rFonts w:ascii="Arial" w:hAnsi="Arial" w:cs="Arial"/>
          <w:color w:val="000000"/>
          <w:sz w:val="20"/>
          <w:szCs w:val="20"/>
          <w:shd w:val="clear" w:color="auto" w:fill="FFFFFF"/>
        </w:rPr>
        <w:t xml:space="preserve">, E. </w:t>
      </w:r>
      <w:proofErr w:type="gramStart"/>
      <w:r w:rsidR="00984487">
        <w:rPr>
          <w:rFonts w:ascii="Arial" w:hAnsi="Arial" w:cs="Arial"/>
          <w:color w:val="000000"/>
          <w:sz w:val="20"/>
          <w:szCs w:val="20"/>
          <w:shd w:val="clear" w:color="auto" w:fill="FFFFFF"/>
        </w:rPr>
        <w:t>et</w:t>
      </w:r>
      <w:proofErr w:type="gramEnd"/>
      <w:r w:rsidR="00984487">
        <w:rPr>
          <w:rFonts w:ascii="Arial" w:hAnsi="Arial" w:cs="Arial"/>
          <w:color w:val="000000"/>
          <w:sz w:val="20"/>
          <w:szCs w:val="20"/>
          <w:shd w:val="clear" w:color="auto" w:fill="FFFFFF"/>
        </w:rPr>
        <w:t xml:space="preserve">. </w:t>
      </w:r>
      <w:proofErr w:type="gramStart"/>
      <w:r w:rsidR="00984487">
        <w:rPr>
          <w:rFonts w:ascii="Arial" w:hAnsi="Arial" w:cs="Arial"/>
          <w:color w:val="000000"/>
          <w:sz w:val="20"/>
          <w:szCs w:val="20"/>
          <w:shd w:val="clear" w:color="auto" w:fill="FFFFFF"/>
        </w:rPr>
        <w:t>al</w:t>
      </w:r>
      <w:proofErr w:type="gramEnd"/>
      <w:r w:rsidR="00984487">
        <w:rPr>
          <w:rFonts w:ascii="Arial" w:hAnsi="Arial" w:cs="Arial"/>
          <w:color w:val="000000"/>
          <w:sz w:val="20"/>
          <w:szCs w:val="20"/>
          <w:shd w:val="clear" w:color="auto" w:fill="FFFFFF"/>
        </w:rPr>
        <w:t xml:space="preserve"> </w:t>
      </w:r>
      <w:r w:rsidR="00984487" w:rsidRPr="00984487">
        <w:rPr>
          <w:rFonts w:ascii="Arial" w:hAnsi="Arial" w:cs="Arial"/>
          <w:color w:val="000000"/>
          <w:sz w:val="20"/>
          <w:szCs w:val="20"/>
          <w:shd w:val="clear" w:color="auto" w:fill="FFFFFF"/>
        </w:rPr>
        <w:t xml:space="preserve">(2011). </w:t>
      </w:r>
      <w:proofErr w:type="gramStart"/>
      <w:r w:rsidR="00984487" w:rsidRPr="00984487">
        <w:rPr>
          <w:rFonts w:ascii="Arial" w:hAnsi="Arial" w:cs="Arial"/>
          <w:color w:val="000000"/>
          <w:sz w:val="20"/>
          <w:szCs w:val="20"/>
          <w:shd w:val="clear" w:color="auto" w:fill="FFFFFF"/>
        </w:rPr>
        <w:t xml:space="preserve">Clinical </w:t>
      </w:r>
      <w:proofErr w:type="spellStart"/>
      <w:r w:rsidR="00984487" w:rsidRPr="00984487">
        <w:rPr>
          <w:rFonts w:ascii="Arial" w:hAnsi="Arial" w:cs="Arial"/>
          <w:color w:val="000000"/>
          <w:sz w:val="20"/>
          <w:szCs w:val="20"/>
          <w:shd w:val="clear" w:color="auto" w:fill="FFFFFF"/>
        </w:rPr>
        <w:t>pharmacogenomic</w:t>
      </w:r>
      <w:proofErr w:type="spellEnd"/>
      <w:r w:rsidR="00984487" w:rsidRPr="00984487">
        <w:rPr>
          <w:rFonts w:ascii="Arial" w:hAnsi="Arial" w:cs="Arial"/>
          <w:color w:val="000000"/>
          <w:sz w:val="20"/>
          <w:szCs w:val="20"/>
          <w:shd w:val="clear" w:color="auto" w:fill="FFFFFF"/>
        </w:rPr>
        <w:t xml:space="preserve"> testing of </w:t>
      </w:r>
      <w:r w:rsidR="00984487">
        <w:rPr>
          <w:rFonts w:ascii="Arial" w:hAnsi="Arial" w:cs="Arial"/>
          <w:i/>
          <w:color w:val="000000"/>
          <w:sz w:val="20"/>
          <w:szCs w:val="20"/>
          <w:shd w:val="clear" w:color="auto" w:fill="FFFFFF"/>
        </w:rPr>
        <w:t>KRAS</w:t>
      </w:r>
      <w:r w:rsidR="00984487" w:rsidRPr="00984487">
        <w:rPr>
          <w:rFonts w:ascii="Arial" w:hAnsi="Arial" w:cs="Arial"/>
          <w:color w:val="000000"/>
          <w:sz w:val="20"/>
          <w:szCs w:val="20"/>
          <w:shd w:val="clear" w:color="auto" w:fill="FFFFFF"/>
        </w:rPr>
        <w:t xml:space="preserve">, </w:t>
      </w:r>
      <w:r w:rsidR="00984487">
        <w:rPr>
          <w:rFonts w:ascii="Arial" w:hAnsi="Arial" w:cs="Arial"/>
          <w:i/>
          <w:color w:val="000000"/>
          <w:sz w:val="20"/>
          <w:szCs w:val="20"/>
          <w:shd w:val="clear" w:color="auto" w:fill="FFFFFF"/>
        </w:rPr>
        <w:t>BRAF</w:t>
      </w:r>
      <w:r w:rsidR="00984487" w:rsidRPr="00984487">
        <w:rPr>
          <w:rFonts w:ascii="Arial" w:hAnsi="Arial" w:cs="Arial"/>
          <w:color w:val="000000"/>
          <w:sz w:val="20"/>
          <w:szCs w:val="20"/>
          <w:shd w:val="clear" w:color="auto" w:fill="FFFFFF"/>
        </w:rPr>
        <w:t xml:space="preserve">, and </w:t>
      </w:r>
      <w:r w:rsidR="00984487">
        <w:rPr>
          <w:rFonts w:ascii="Arial" w:hAnsi="Arial" w:cs="Arial"/>
          <w:i/>
          <w:color w:val="000000"/>
          <w:sz w:val="20"/>
          <w:szCs w:val="20"/>
          <w:shd w:val="clear" w:color="auto" w:fill="FFFFFF"/>
        </w:rPr>
        <w:t>EGFR</w:t>
      </w:r>
      <w:r w:rsidR="00984487" w:rsidRPr="00984487">
        <w:rPr>
          <w:rFonts w:ascii="Arial" w:hAnsi="Arial" w:cs="Arial"/>
          <w:color w:val="000000"/>
          <w:sz w:val="20"/>
          <w:szCs w:val="20"/>
          <w:shd w:val="clear" w:color="auto" w:fill="FFFFFF"/>
        </w:rPr>
        <w:t xml:space="preserve"> mutations by high resolution melting analysis and ultra-deep </w:t>
      </w:r>
      <w:proofErr w:type="spellStart"/>
      <w:r w:rsidR="00984487" w:rsidRPr="00984487">
        <w:rPr>
          <w:rFonts w:ascii="Arial" w:hAnsi="Arial" w:cs="Arial"/>
          <w:color w:val="000000"/>
          <w:sz w:val="20"/>
          <w:szCs w:val="20"/>
          <w:shd w:val="clear" w:color="auto" w:fill="FFFFFF"/>
        </w:rPr>
        <w:t>pyrosequencing</w:t>
      </w:r>
      <w:proofErr w:type="spellEnd"/>
      <w:r w:rsidR="00984487" w:rsidRPr="00984487">
        <w:rPr>
          <w:rFonts w:ascii="Arial" w:hAnsi="Arial" w:cs="Arial"/>
          <w:color w:val="000000"/>
          <w:sz w:val="20"/>
          <w:szCs w:val="20"/>
          <w:shd w:val="clear" w:color="auto" w:fill="FFFFFF"/>
        </w:rPr>
        <w:t>.</w:t>
      </w:r>
      <w:proofErr w:type="gramEnd"/>
      <w:r w:rsidR="00984487">
        <w:rPr>
          <w:rFonts w:ascii="Arial" w:hAnsi="Arial" w:cs="Arial"/>
          <w:color w:val="000000"/>
          <w:sz w:val="20"/>
          <w:szCs w:val="20"/>
          <w:shd w:val="clear" w:color="auto" w:fill="FFFFFF"/>
        </w:rPr>
        <w:t xml:space="preserve"> </w:t>
      </w:r>
      <w:r w:rsidR="00984487" w:rsidRPr="00984487">
        <w:rPr>
          <w:rFonts w:ascii="Arial" w:hAnsi="Arial" w:cs="Arial"/>
          <w:i/>
          <w:iCs/>
          <w:color w:val="000000"/>
          <w:sz w:val="20"/>
          <w:szCs w:val="20"/>
          <w:shd w:val="clear" w:color="auto" w:fill="FFFFFF"/>
        </w:rPr>
        <w:t>BMC Cancer</w:t>
      </w:r>
      <w:r w:rsidR="00984487" w:rsidRPr="00984487">
        <w:rPr>
          <w:rFonts w:ascii="Arial" w:hAnsi="Arial" w:cs="Arial"/>
          <w:color w:val="000000"/>
          <w:sz w:val="20"/>
          <w:szCs w:val="20"/>
          <w:shd w:val="clear" w:color="auto" w:fill="FFFFFF"/>
        </w:rPr>
        <w:t>,</w:t>
      </w:r>
      <w:r w:rsidR="00984487" w:rsidRPr="00984487">
        <w:rPr>
          <w:rStyle w:val="apple-converted-space"/>
          <w:rFonts w:ascii="Arial" w:hAnsi="Arial" w:cs="Arial"/>
          <w:color w:val="000000"/>
          <w:sz w:val="20"/>
          <w:szCs w:val="20"/>
          <w:shd w:val="clear" w:color="auto" w:fill="FFFFFF"/>
        </w:rPr>
        <w:t> </w:t>
      </w:r>
      <w:r w:rsidR="00984487" w:rsidRPr="00984487">
        <w:rPr>
          <w:rFonts w:ascii="Arial" w:hAnsi="Arial" w:cs="Arial"/>
          <w:i/>
          <w:iCs/>
          <w:color w:val="000000"/>
          <w:sz w:val="20"/>
          <w:szCs w:val="20"/>
          <w:shd w:val="clear" w:color="auto" w:fill="FFFFFF"/>
        </w:rPr>
        <w:t>11</w:t>
      </w:r>
      <w:r w:rsidR="00984487" w:rsidRPr="00984487">
        <w:rPr>
          <w:rFonts w:ascii="Arial" w:hAnsi="Arial" w:cs="Arial"/>
          <w:color w:val="000000"/>
          <w:sz w:val="20"/>
          <w:szCs w:val="20"/>
          <w:shd w:val="clear" w:color="auto" w:fill="FFFFFF"/>
        </w:rPr>
        <w:t xml:space="preserve">(406), </w:t>
      </w:r>
      <w:proofErr w:type="spellStart"/>
      <w:r w:rsidR="00984487" w:rsidRPr="00984487">
        <w:rPr>
          <w:rFonts w:ascii="Arial" w:hAnsi="Arial" w:cs="Arial"/>
          <w:color w:val="000000"/>
          <w:sz w:val="20"/>
          <w:szCs w:val="20"/>
          <w:shd w:val="clear" w:color="auto" w:fill="FFFFFF"/>
        </w:rPr>
        <w:t>doi</w:t>
      </w:r>
      <w:proofErr w:type="spellEnd"/>
      <w:r w:rsidR="00984487" w:rsidRPr="00984487">
        <w:rPr>
          <w:rFonts w:ascii="Arial" w:hAnsi="Arial" w:cs="Arial"/>
          <w:color w:val="000000"/>
          <w:sz w:val="20"/>
          <w:szCs w:val="20"/>
          <w:shd w:val="clear" w:color="auto" w:fill="FFFFFF"/>
        </w:rPr>
        <w:t>: 10.1186/1471-2407-11-406</w:t>
      </w:r>
      <w:r w:rsidR="00984487" w:rsidRPr="00984487">
        <w:rPr>
          <w:rFonts w:ascii="Arial" w:hAnsi="Arial" w:cs="Arial"/>
          <w:sz w:val="20"/>
          <w:szCs w:val="20"/>
        </w:rPr>
        <w:t xml:space="preserve"> </w:t>
      </w:r>
    </w:p>
    <w:p w:rsidR="002A2B4F" w:rsidRDefault="005A3470" w:rsidP="00836402">
      <w:pPr>
        <w:spacing w:line="360" w:lineRule="auto"/>
        <w:ind w:left="540" w:hanging="540"/>
        <w:rPr>
          <w:rStyle w:val="Hyperlink"/>
          <w:rFonts w:ascii="Arial" w:hAnsi="Arial" w:cs="Arial"/>
          <w:sz w:val="20"/>
          <w:szCs w:val="20"/>
        </w:rPr>
      </w:pPr>
      <w:r>
        <w:rPr>
          <w:rFonts w:ascii="Arial" w:hAnsi="Arial" w:cs="Arial"/>
          <w:sz w:val="20"/>
          <w:szCs w:val="20"/>
        </w:rPr>
        <w:t>[18</w:t>
      </w:r>
      <w:r w:rsidR="00741520" w:rsidRPr="00685A7C">
        <w:rPr>
          <w:rFonts w:ascii="Arial" w:hAnsi="Arial" w:cs="Arial"/>
          <w:sz w:val="20"/>
          <w:szCs w:val="20"/>
        </w:rPr>
        <w:t xml:space="preserve">] </w:t>
      </w:r>
      <w:r w:rsidR="00C15315" w:rsidRPr="00C15315">
        <w:rPr>
          <w:rFonts w:ascii="Arial" w:hAnsi="Arial" w:cs="Arial"/>
          <w:sz w:val="20"/>
          <w:szCs w:val="20"/>
        </w:rPr>
        <w:t xml:space="preserve">Kawahara, A. </w:t>
      </w:r>
      <w:proofErr w:type="gramStart"/>
      <w:r w:rsidR="00C15315">
        <w:rPr>
          <w:rFonts w:ascii="Arial" w:hAnsi="Arial" w:cs="Arial"/>
          <w:sz w:val="20"/>
          <w:szCs w:val="20"/>
        </w:rPr>
        <w:t>et</w:t>
      </w:r>
      <w:proofErr w:type="gramEnd"/>
      <w:r w:rsidR="00C15315">
        <w:rPr>
          <w:rFonts w:ascii="Arial" w:hAnsi="Arial" w:cs="Arial"/>
          <w:sz w:val="20"/>
          <w:szCs w:val="20"/>
        </w:rPr>
        <w:t xml:space="preserve">. </w:t>
      </w:r>
      <w:proofErr w:type="gramStart"/>
      <w:r w:rsidR="00C15315">
        <w:rPr>
          <w:rFonts w:ascii="Arial" w:hAnsi="Arial" w:cs="Arial"/>
          <w:sz w:val="20"/>
          <w:szCs w:val="20"/>
        </w:rPr>
        <w:t>al</w:t>
      </w:r>
      <w:proofErr w:type="gramEnd"/>
      <w:r w:rsidR="00C15315">
        <w:rPr>
          <w:rFonts w:ascii="Arial" w:hAnsi="Arial" w:cs="Arial"/>
          <w:sz w:val="20"/>
          <w:szCs w:val="20"/>
        </w:rPr>
        <w:t xml:space="preserve"> </w:t>
      </w:r>
      <w:r w:rsidR="00C15315" w:rsidRPr="00C15315">
        <w:rPr>
          <w:rFonts w:ascii="Arial" w:hAnsi="Arial" w:cs="Arial"/>
          <w:sz w:val="20"/>
          <w:szCs w:val="20"/>
        </w:rPr>
        <w:t xml:space="preserve">(2011). Identification of non-small-cell lung cancer with activating </w:t>
      </w:r>
      <w:r w:rsidR="00C15315">
        <w:rPr>
          <w:rFonts w:ascii="Arial" w:hAnsi="Arial" w:cs="Arial"/>
          <w:sz w:val="20"/>
          <w:szCs w:val="20"/>
        </w:rPr>
        <w:t>EGFR</w:t>
      </w:r>
      <w:r w:rsidR="00C15315" w:rsidRPr="00C15315">
        <w:rPr>
          <w:rFonts w:ascii="Arial" w:hAnsi="Arial" w:cs="Arial"/>
          <w:sz w:val="20"/>
          <w:szCs w:val="20"/>
        </w:rPr>
        <w:t xml:space="preserve"> mutations in malignant effusion and cerebrospinal fluid: rapid and sensitive detection of exon 19 deletion </w:t>
      </w:r>
      <w:r w:rsidR="00C15315">
        <w:rPr>
          <w:rFonts w:ascii="Arial" w:hAnsi="Arial" w:cs="Arial"/>
          <w:sz w:val="20"/>
          <w:szCs w:val="20"/>
        </w:rPr>
        <w:t>E</w:t>
      </w:r>
      <w:r w:rsidR="00C15315" w:rsidRPr="00C15315">
        <w:rPr>
          <w:rFonts w:ascii="Arial" w:hAnsi="Arial" w:cs="Arial"/>
          <w:sz w:val="20"/>
          <w:szCs w:val="20"/>
        </w:rPr>
        <w:t>746-</w:t>
      </w:r>
      <w:r w:rsidR="00C15315">
        <w:rPr>
          <w:rFonts w:ascii="Arial" w:hAnsi="Arial" w:cs="Arial"/>
          <w:sz w:val="20"/>
          <w:szCs w:val="20"/>
        </w:rPr>
        <w:t>A</w:t>
      </w:r>
      <w:r w:rsidR="00C15315" w:rsidRPr="00C15315">
        <w:rPr>
          <w:rFonts w:ascii="Arial" w:hAnsi="Arial" w:cs="Arial"/>
          <w:sz w:val="20"/>
          <w:szCs w:val="20"/>
        </w:rPr>
        <w:t>750 and exon 21 l858</w:t>
      </w:r>
      <w:r w:rsidR="00C15315">
        <w:rPr>
          <w:rFonts w:ascii="Arial" w:hAnsi="Arial" w:cs="Arial"/>
          <w:sz w:val="20"/>
          <w:szCs w:val="20"/>
        </w:rPr>
        <w:t>R</w:t>
      </w:r>
      <w:r w:rsidR="00C15315" w:rsidRPr="00C15315">
        <w:rPr>
          <w:rFonts w:ascii="Arial" w:hAnsi="Arial" w:cs="Arial"/>
          <w:sz w:val="20"/>
          <w:szCs w:val="20"/>
        </w:rPr>
        <w:t xml:space="preserve"> mutation by immunocytochemistry. </w:t>
      </w:r>
      <w:r w:rsidR="00C15315" w:rsidRPr="00C15315">
        <w:rPr>
          <w:rFonts w:ascii="Arial" w:hAnsi="Arial" w:cs="Arial"/>
          <w:i/>
          <w:sz w:val="20"/>
          <w:szCs w:val="20"/>
        </w:rPr>
        <w:t>Lung Cancer</w:t>
      </w:r>
      <w:r w:rsidR="00C15315" w:rsidRPr="00C15315">
        <w:rPr>
          <w:rFonts w:ascii="Arial" w:hAnsi="Arial" w:cs="Arial"/>
          <w:sz w:val="20"/>
          <w:szCs w:val="20"/>
        </w:rPr>
        <w:t xml:space="preserve">, 74(1), 35-40. </w:t>
      </w:r>
      <w:proofErr w:type="spellStart"/>
      <w:proofErr w:type="gramStart"/>
      <w:r w:rsidR="00C15315" w:rsidRPr="00C15315">
        <w:rPr>
          <w:rFonts w:ascii="Arial" w:hAnsi="Arial" w:cs="Arial"/>
          <w:sz w:val="20"/>
          <w:szCs w:val="20"/>
        </w:rPr>
        <w:t>doi</w:t>
      </w:r>
      <w:proofErr w:type="spellEnd"/>
      <w:proofErr w:type="gramEnd"/>
      <w:r w:rsidR="00C15315" w:rsidRPr="00C15315">
        <w:rPr>
          <w:rFonts w:ascii="Arial" w:hAnsi="Arial" w:cs="Arial"/>
          <w:sz w:val="20"/>
          <w:szCs w:val="20"/>
        </w:rPr>
        <w:t>: 10.1016/j.lungcan.2011.02.002</w:t>
      </w:r>
    </w:p>
    <w:p w:rsidR="002A2B4F" w:rsidRPr="002A2B4F" w:rsidRDefault="002A2B4F" w:rsidP="00836402">
      <w:pPr>
        <w:spacing w:line="360" w:lineRule="auto"/>
        <w:ind w:left="540" w:hanging="540"/>
        <w:rPr>
          <w:rFonts w:ascii="Arial" w:hAnsi="Arial" w:cs="Arial"/>
          <w:color w:val="0000FF"/>
          <w:sz w:val="20"/>
          <w:szCs w:val="20"/>
          <w:u w:val="single"/>
        </w:rPr>
      </w:pPr>
      <w:r w:rsidRPr="002A2B4F">
        <w:t>[19]</w:t>
      </w:r>
      <w:r>
        <w:rPr>
          <w:rStyle w:val="Hyperlink"/>
          <w:rFonts w:ascii="Arial" w:hAnsi="Arial" w:cs="Arial"/>
          <w:sz w:val="20"/>
          <w:szCs w:val="20"/>
          <w:u w:val="none"/>
        </w:rPr>
        <w:t xml:space="preserve"> </w:t>
      </w:r>
      <w:r w:rsidRPr="002A2B4F">
        <w:rPr>
          <w:rFonts w:ascii="Arial" w:hAnsi="Arial" w:cs="Arial"/>
          <w:sz w:val="20"/>
          <w:szCs w:val="20"/>
        </w:rPr>
        <w:t xml:space="preserve">Gupta, P., H., S. Y., </w:t>
      </w:r>
      <w:proofErr w:type="spellStart"/>
      <w:r w:rsidRPr="002A2B4F">
        <w:rPr>
          <w:rFonts w:ascii="Arial" w:hAnsi="Arial" w:cs="Arial"/>
          <w:sz w:val="20"/>
          <w:szCs w:val="20"/>
        </w:rPr>
        <w:t>Holgado-Madruga</w:t>
      </w:r>
      <w:proofErr w:type="spellEnd"/>
      <w:r w:rsidRPr="002A2B4F">
        <w:rPr>
          <w:rFonts w:ascii="Arial" w:hAnsi="Arial" w:cs="Arial"/>
          <w:sz w:val="20"/>
          <w:szCs w:val="20"/>
        </w:rPr>
        <w:t xml:space="preserve">, M., </w:t>
      </w:r>
      <w:proofErr w:type="spellStart"/>
      <w:r w:rsidRPr="002A2B4F">
        <w:rPr>
          <w:rFonts w:ascii="Arial" w:hAnsi="Arial" w:cs="Arial"/>
          <w:sz w:val="20"/>
          <w:szCs w:val="20"/>
        </w:rPr>
        <w:t>Mitra</w:t>
      </w:r>
      <w:proofErr w:type="spellEnd"/>
      <w:r w:rsidRPr="002A2B4F">
        <w:rPr>
          <w:rFonts w:ascii="Arial" w:hAnsi="Arial" w:cs="Arial"/>
          <w:sz w:val="20"/>
          <w:szCs w:val="20"/>
        </w:rPr>
        <w:t xml:space="preserve">, S. S., Li, G., Nitta, R. T., &amp; Wong, A. J. (2010). Development of </w:t>
      </w:r>
      <w:proofErr w:type="gramStart"/>
      <w:r w:rsidRPr="002A2B4F">
        <w:rPr>
          <w:rFonts w:ascii="Arial" w:hAnsi="Arial" w:cs="Arial"/>
          <w:sz w:val="20"/>
          <w:szCs w:val="20"/>
        </w:rPr>
        <w:t>an</w:t>
      </w:r>
      <w:proofErr w:type="gramEnd"/>
      <w:r w:rsidRPr="002A2B4F">
        <w:rPr>
          <w:rFonts w:ascii="Arial" w:hAnsi="Arial" w:cs="Arial"/>
          <w:sz w:val="20"/>
          <w:szCs w:val="20"/>
        </w:rPr>
        <w:t xml:space="preserve"> </w:t>
      </w:r>
      <w:proofErr w:type="spellStart"/>
      <w:r>
        <w:rPr>
          <w:rFonts w:ascii="Arial" w:hAnsi="Arial" w:cs="Arial"/>
          <w:sz w:val="20"/>
          <w:szCs w:val="20"/>
        </w:rPr>
        <w:t>GFRvIII</w:t>
      </w:r>
      <w:proofErr w:type="spellEnd"/>
      <w:r w:rsidRPr="002A2B4F">
        <w:rPr>
          <w:rFonts w:ascii="Arial" w:hAnsi="Arial" w:cs="Arial"/>
          <w:sz w:val="20"/>
          <w:szCs w:val="20"/>
        </w:rPr>
        <w:t xml:space="preserve"> specific recombinant antibody. </w:t>
      </w:r>
      <w:r w:rsidRPr="00607AC2">
        <w:rPr>
          <w:rFonts w:ascii="Arial" w:hAnsi="Arial" w:cs="Arial"/>
          <w:i/>
          <w:sz w:val="20"/>
          <w:szCs w:val="20"/>
        </w:rPr>
        <w:t>BMC Biotechnology</w:t>
      </w:r>
      <w:r w:rsidRPr="002A2B4F">
        <w:rPr>
          <w:rFonts w:ascii="Arial" w:hAnsi="Arial" w:cs="Arial"/>
          <w:sz w:val="20"/>
          <w:szCs w:val="20"/>
        </w:rPr>
        <w:t xml:space="preserve">, 10(72), </w:t>
      </w:r>
      <w:proofErr w:type="spellStart"/>
      <w:r w:rsidRPr="002A2B4F">
        <w:rPr>
          <w:rFonts w:ascii="Arial" w:hAnsi="Arial" w:cs="Arial"/>
          <w:sz w:val="20"/>
          <w:szCs w:val="20"/>
        </w:rPr>
        <w:t>doi</w:t>
      </w:r>
      <w:proofErr w:type="spellEnd"/>
      <w:r w:rsidRPr="002A2B4F">
        <w:rPr>
          <w:rFonts w:ascii="Arial" w:hAnsi="Arial" w:cs="Arial"/>
          <w:sz w:val="20"/>
          <w:szCs w:val="20"/>
        </w:rPr>
        <w:t xml:space="preserve">: 10.1186/1472-6750-10-72 </w:t>
      </w:r>
    </w:p>
    <w:p w:rsidR="00607AC2" w:rsidRDefault="005A3470" w:rsidP="00836402">
      <w:pPr>
        <w:spacing w:line="360" w:lineRule="auto"/>
        <w:ind w:left="540" w:hanging="540"/>
        <w:rPr>
          <w:rFonts w:ascii="Arial" w:hAnsi="Arial" w:cs="Arial"/>
          <w:sz w:val="20"/>
          <w:szCs w:val="20"/>
        </w:rPr>
      </w:pPr>
      <w:r>
        <w:rPr>
          <w:rFonts w:ascii="Arial" w:hAnsi="Arial" w:cs="Arial"/>
          <w:sz w:val="20"/>
          <w:szCs w:val="20"/>
        </w:rPr>
        <w:t>[20</w:t>
      </w:r>
      <w:r w:rsidR="00063185" w:rsidRPr="00685A7C">
        <w:rPr>
          <w:rFonts w:ascii="Arial" w:hAnsi="Arial" w:cs="Arial"/>
          <w:sz w:val="20"/>
          <w:szCs w:val="20"/>
        </w:rPr>
        <w:t xml:space="preserve">] </w:t>
      </w:r>
      <w:proofErr w:type="gramStart"/>
      <w:r w:rsidR="00607AC2" w:rsidRPr="00607AC2">
        <w:rPr>
          <w:rFonts w:ascii="Arial" w:hAnsi="Arial" w:cs="Arial"/>
          <w:sz w:val="20"/>
          <w:szCs w:val="20"/>
        </w:rPr>
        <w:t>van</w:t>
      </w:r>
      <w:proofErr w:type="gramEnd"/>
      <w:r w:rsidR="00607AC2" w:rsidRPr="00607AC2">
        <w:rPr>
          <w:rFonts w:ascii="Arial" w:hAnsi="Arial" w:cs="Arial"/>
          <w:sz w:val="20"/>
          <w:szCs w:val="20"/>
        </w:rPr>
        <w:t xml:space="preserve"> Dam, R. M</w:t>
      </w:r>
      <w:r w:rsidR="00607AC2">
        <w:rPr>
          <w:rFonts w:ascii="Arial" w:hAnsi="Arial" w:cs="Arial"/>
          <w:sz w:val="20"/>
          <w:szCs w:val="20"/>
        </w:rPr>
        <w:t>.</w:t>
      </w:r>
      <w:r w:rsidR="00607AC2" w:rsidRPr="00607AC2">
        <w:rPr>
          <w:rFonts w:ascii="Arial" w:hAnsi="Arial" w:cs="Arial"/>
          <w:sz w:val="20"/>
          <w:szCs w:val="20"/>
        </w:rPr>
        <w:t xml:space="preserve"> (2006) Solvent-resistant elastomeric microfluidic devices and applications. </w:t>
      </w:r>
      <w:proofErr w:type="gramStart"/>
      <w:r w:rsidR="00607AC2" w:rsidRPr="00607AC2">
        <w:rPr>
          <w:rFonts w:ascii="Arial" w:hAnsi="Arial" w:cs="Arial"/>
          <w:sz w:val="20"/>
          <w:szCs w:val="20"/>
        </w:rPr>
        <w:t>Dissertation (Ph.D.), California Institute of Technology.</w:t>
      </w:r>
      <w:proofErr w:type="gramEnd"/>
      <w:r w:rsidR="00607AC2" w:rsidRPr="00607AC2">
        <w:rPr>
          <w:rFonts w:ascii="Arial" w:hAnsi="Arial" w:cs="Arial"/>
          <w:sz w:val="20"/>
          <w:szCs w:val="20"/>
        </w:rPr>
        <w:t xml:space="preserve"> http://resolver.caltech.edu/CaltechETD:etd-12052005-234258 </w:t>
      </w:r>
    </w:p>
    <w:p w:rsidR="006B40C2" w:rsidRPr="00685A7C" w:rsidRDefault="005A3470" w:rsidP="00836402">
      <w:pPr>
        <w:spacing w:line="360" w:lineRule="auto"/>
        <w:ind w:left="540" w:hanging="540"/>
        <w:rPr>
          <w:rFonts w:ascii="Arial" w:hAnsi="Arial" w:cs="Arial"/>
          <w:sz w:val="20"/>
          <w:szCs w:val="20"/>
        </w:rPr>
      </w:pPr>
      <w:proofErr w:type="gramStart"/>
      <w:r>
        <w:rPr>
          <w:rFonts w:ascii="Arial" w:hAnsi="Arial" w:cs="Arial"/>
          <w:sz w:val="20"/>
          <w:szCs w:val="20"/>
        </w:rPr>
        <w:t>[21</w:t>
      </w:r>
      <w:r w:rsidR="006B40C2" w:rsidRPr="00685A7C">
        <w:rPr>
          <w:rFonts w:ascii="Arial" w:hAnsi="Arial" w:cs="Arial"/>
          <w:sz w:val="20"/>
          <w:szCs w:val="20"/>
        </w:rPr>
        <w:t xml:space="preserve">] </w:t>
      </w:r>
      <w:r w:rsidR="00A87A14" w:rsidRPr="00A87A14">
        <w:rPr>
          <w:rFonts w:ascii="Arial" w:hAnsi="Arial" w:cs="Arial"/>
          <w:sz w:val="20"/>
          <w:szCs w:val="20"/>
        </w:rPr>
        <w:t xml:space="preserve">Di Carlo, D., </w:t>
      </w:r>
      <w:proofErr w:type="spellStart"/>
      <w:r w:rsidR="00A87A14" w:rsidRPr="00A87A14">
        <w:rPr>
          <w:rFonts w:ascii="Arial" w:hAnsi="Arial" w:cs="Arial"/>
          <w:sz w:val="20"/>
          <w:szCs w:val="20"/>
        </w:rPr>
        <w:t>Ionescu-Zanetti</w:t>
      </w:r>
      <w:proofErr w:type="spellEnd"/>
      <w:r w:rsidR="00A87A14" w:rsidRPr="00A87A14">
        <w:rPr>
          <w:rFonts w:ascii="Arial" w:hAnsi="Arial" w:cs="Arial"/>
          <w:sz w:val="20"/>
          <w:szCs w:val="20"/>
        </w:rPr>
        <w:t>, C., Zhang, Y., Hung, P., &amp; Lee, L. P. (2004).</w:t>
      </w:r>
      <w:proofErr w:type="gramEnd"/>
      <w:r w:rsidR="00A87A14" w:rsidRPr="00A87A14">
        <w:rPr>
          <w:rFonts w:ascii="Arial" w:hAnsi="Arial" w:cs="Arial"/>
          <w:sz w:val="20"/>
          <w:szCs w:val="20"/>
        </w:rPr>
        <w:t xml:space="preserve"> </w:t>
      </w:r>
      <w:proofErr w:type="gramStart"/>
      <w:r w:rsidR="00A87A14" w:rsidRPr="00A87A14">
        <w:rPr>
          <w:rFonts w:ascii="Arial" w:hAnsi="Arial" w:cs="Arial"/>
          <w:sz w:val="20"/>
          <w:szCs w:val="20"/>
        </w:rPr>
        <w:t>On-chip cell lysis by local hydroxide generation.</w:t>
      </w:r>
      <w:proofErr w:type="gramEnd"/>
      <w:r w:rsidR="00A87A14" w:rsidRPr="00A87A14">
        <w:rPr>
          <w:rFonts w:ascii="Arial" w:hAnsi="Arial" w:cs="Arial"/>
          <w:sz w:val="20"/>
          <w:szCs w:val="20"/>
        </w:rPr>
        <w:t xml:space="preserve"> </w:t>
      </w:r>
      <w:r w:rsidR="00A87A14" w:rsidRPr="00A87A14">
        <w:rPr>
          <w:rFonts w:ascii="Arial" w:hAnsi="Arial" w:cs="Arial"/>
          <w:i/>
          <w:sz w:val="20"/>
          <w:szCs w:val="20"/>
        </w:rPr>
        <w:t>Lab on a Chip</w:t>
      </w:r>
      <w:r w:rsidR="00A87A14" w:rsidRPr="00A87A14">
        <w:rPr>
          <w:rFonts w:ascii="Arial" w:hAnsi="Arial" w:cs="Arial"/>
          <w:sz w:val="20"/>
          <w:szCs w:val="20"/>
        </w:rPr>
        <w:t xml:space="preserve">, 5, 171-178. </w:t>
      </w:r>
      <w:proofErr w:type="spellStart"/>
      <w:proofErr w:type="gramStart"/>
      <w:r w:rsidR="00A87A14" w:rsidRPr="00A87A14">
        <w:rPr>
          <w:rFonts w:ascii="Arial" w:hAnsi="Arial" w:cs="Arial"/>
          <w:sz w:val="20"/>
          <w:szCs w:val="20"/>
        </w:rPr>
        <w:t>doi</w:t>
      </w:r>
      <w:proofErr w:type="spellEnd"/>
      <w:proofErr w:type="gramEnd"/>
      <w:r w:rsidR="00A87A14" w:rsidRPr="00A87A14">
        <w:rPr>
          <w:rFonts w:ascii="Arial" w:hAnsi="Arial" w:cs="Arial"/>
          <w:sz w:val="20"/>
          <w:szCs w:val="20"/>
        </w:rPr>
        <w:t>: 10.1039/b413139h</w:t>
      </w:r>
    </w:p>
    <w:p w:rsidR="00A87A14" w:rsidRDefault="005A3470" w:rsidP="00836402">
      <w:pPr>
        <w:spacing w:line="360" w:lineRule="auto"/>
        <w:ind w:left="540" w:hanging="540"/>
        <w:rPr>
          <w:rFonts w:ascii="Arial" w:hAnsi="Arial" w:cs="Arial"/>
          <w:sz w:val="20"/>
          <w:szCs w:val="20"/>
        </w:rPr>
      </w:pPr>
      <w:r>
        <w:rPr>
          <w:rFonts w:ascii="Arial" w:hAnsi="Arial" w:cs="Arial"/>
          <w:sz w:val="20"/>
          <w:szCs w:val="20"/>
        </w:rPr>
        <w:t>[22</w:t>
      </w:r>
      <w:r w:rsidR="006A7123" w:rsidRPr="00685A7C">
        <w:rPr>
          <w:rFonts w:ascii="Arial" w:hAnsi="Arial" w:cs="Arial"/>
          <w:sz w:val="20"/>
          <w:szCs w:val="20"/>
        </w:rPr>
        <w:t xml:space="preserve">] </w:t>
      </w:r>
      <w:proofErr w:type="spellStart"/>
      <w:r w:rsidR="00A87A14" w:rsidRPr="00A87A14">
        <w:rPr>
          <w:rFonts w:ascii="Arial" w:hAnsi="Arial" w:cs="Arial"/>
          <w:sz w:val="20"/>
          <w:szCs w:val="20"/>
        </w:rPr>
        <w:t>Devalia</w:t>
      </w:r>
      <w:proofErr w:type="spellEnd"/>
      <w:r w:rsidR="00A87A14" w:rsidRPr="00A87A14">
        <w:rPr>
          <w:rFonts w:ascii="Arial" w:hAnsi="Arial" w:cs="Arial"/>
          <w:sz w:val="20"/>
          <w:szCs w:val="20"/>
        </w:rPr>
        <w:t xml:space="preserve">, J. L., </w:t>
      </w:r>
      <w:proofErr w:type="spellStart"/>
      <w:r w:rsidR="00A87A14" w:rsidRPr="00A87A14">
        <w:rPr>
          <w:rFonts w:ascii="Arial" w:hAnsi="Arial" w:cs="Arial"/>
          <w:sz w:val="20"/>
          <w:szCs w:val="20"/>
        </w:rPr>
        <w:t>Sapsford</w:t>
      </w:r>
      <w:proofErr w:type="spellEnd"/>
      <w:r w:rsidR="00A87A14" w:rsidRPr="00A87A14">
        <w:rPr>
          <w:rFonts w:ascii="Arial" w:hAnsi="Arial" w:cs="Arial"/>
          <w:sz w:val="20"/>
          <w:szCs w:val="20"/>
        </w:rPr>
        <w:t xml:space="preserve">, R. J., Wells, C. W., Richman, P., &amp; Davies, R. J. (1990). </w:t>
      </w:r>
      <w:proofErr w:type="gramStart"/>
      <w:r w:rsidR="00A87A14" w:rsidRPr="00A87A14">
        <w:rPr>
          <w:rFonts w:ascii="Arial" w:hAnsi="Arial" w:cs="Arial"/>
          <w:sz w:val="20"/>
          <w:szCs w:val="20"/>
        </w:rPr>
        <w:t>Culture and comparison of human bronchial and nasal epithelial cells in vitro.</w:t>
      </w:r>
      <w:proofErr w:type="gramEnd"/>
      <w:r w:rsidR="00A87A14" w:rsidRPr="00A87A14">
        <w:rPr>
          <w:rFonts w:ascii="Arial" w:hAnsi="Arial" w:cs="Arial"/>
          <w:sz w:val="20"/>
          <w:szCs w:val="20"/>
        </w:rPr>
        <w:t xml:space="preserve"> </w:t>
      </w:r>
      <w:r w:rsidR="00A87A14" w:rsidRPr="00A87A14">
        <w:rPr>
          <w:rFonts w:ascii="Arial" w:hAnsi="Arial" w:cs="Arial"/>
          <w:i/>
          <w:sz w:val="20"/>
          <w:szCs w:val="20"/>
        </w:rPr>
        <w:t>Respiratory Medicine</w:t>
      </w:r>
      <w:r w:rsidR="00A87A14" w:rsidRPr="00A87A14">
        <w:rPr>
          <w:rFonts w:ascii="Arial" w:hAnsi="Arial" w:cs="Arial"/>
          <w:sz w:val="20"/>
          <w:szCs w:val="20"/>
        </w:rPr>
        <w:t xml:space="preserve">, 84(4), 303-312. </w:t>
      </w:r>
      <w:r>
        <w:rPr>
          <w:rFonts w:ascii="Arial" w:hAnsi="Arial" w:cs="Arial"/>
          <w:sz w:val="20"/>
          <w:szCs w:val="20"/>
        </w:rPr>
        <w:t>[23</w:t>
      </w:r>
      <w:r w:rsidR="000A3C7D" w:rsidRPr="00685A7C">
        <w:rPr>
          <w:rFonts w:ascii="Arial" w:hAnsi="Arial" w:cs="Arial"/>
          <w:sz w:val="20"/>
          <w:szCs w:val="20"/>
        </w:rPr>
        <w:t xml:space="preserve">] </w:t>
      </w:r>
      <w:proofErr w:type="spellStart"/>
      <w:r w:rsidR="00A87A14" w:rsidRPr="00A87A14">
        <w:rPr>
          <w:rFonts w:ascii="Arial" w:hAnsi="Arial" w:cs="Arial"/>
          <w:sz w:val="20"/>
          <w:szCs w:val="20"/>
        </w:rPr>
        <w:t>Poeckh</w:t>
      </w:r>
      <w:proofErr w:type="spellEnd"/>
      <w:r w:rsidR="00A87A14" w:rsidRPr="00A87A14">
        <w:rPr>
          <w:rFonts w:ascii="Arial" w:hAnsi="Arial" w:cs="Arial"/>
          <w:sz w:val="20"/>
          <w:szCs w:val="20"/>
        </w:rPr>
        <w:t xml:space="preserve">, T., Lopez, S., Fuller, A. O., Solomon, M. J., &amp; Larson, R. G. (2008). </w:t>
      </w:r>
      <w:proofErr w:type="gramStart"/>
      <w:r w:rsidR="00A87A14" w:rsidRPr="00A87A14">
        <w:rPr>
          <w:rFonts w:ascii="Arial" w:hAnsi="Arial" w:cs="Arial"/>
          <w:sz w:val="20"/>
          <w:szCs w:val="20"/>
        </w:rPr>
        <w:t>Adsorption and elution characteristics of nucleic acids on silica surfaces and their use in designing a miniaturized purification unit.</w:t>
      </w:r>
      <w:proofErr w:type="gramEnd"/>
      <w:r w:rsidR="00A87A14">
        <w:rPr>
          <w:rFonts w:ascii="Arial" w:hAnsi="Arial" w:cs="Arial"/>
          <w:sz w:val="20"/>
          <w:szCs w:val="20"/>
        </w:rPr>
        <w:t xml:space="preserve"> </w:t>
      </w:r>
      <w:r w:rsidR="00A87A14" w:rsidRPr="00A87A14">
        <w:rPr>
          <w:rFonts w:ascii="Arial" w:hAnsi="Arial" w:cs="Arial"/>
          <w:i/>
          <w:iCs/>
          <w:sz w:val="20"/>
          <w:szCs w:val="20"/>
        </w:rPr>
        <w:t>Analytical Biochemistry</w:t>
      </w:r>
      <w:r w:rsidR="00A87A14" w:rsidRPr="00A87A14">
        <w:rPr>
          <w:rFonts w:ascii="Arial" w:hAnsi="Arial" w:cs="Arial"/>
          <w:sz w:val="20"/>
          <w:szCs w:val="20"/>
        </w:rPr>
        <w:t>, </w:t>
      </w:r>
      <w:r w:rsidR="00A87A14" w:rsidRPr="00A87A14">
        <w:rPr>
          <w:rFonts w:ascii="Arial" w:hAnsi="Arial" w:cs="Arial"/>
          <w:i/>
          <w:iCs/>
          <w:sz w:val="20"/>
          <w:szCs w:val="20"/>
        </w:rPr>
        <w:t>373</w:t>
      </w:r>
      <w:r w:rsidR="00A87A14" w:rsidRPr="00A87A14">
        <w:rPr>
          <w:rFonts w:ascii="Arial" w:hAnsi="Arial" w:cs="Arial"/>
          <w:sz w:val="20"/>
          <w:szCs w:val="20"/>
        </w:rPr>
        <w:t xml:space="preserve">(2), 253-262. </w:t>
      </w:r>
      <w:proofErr w:type="spellStart"/>
      <w:proofErr w:type="gramStart"/>
      <w:r w:rsidR="00A87A14" w:rsidRPr="00A87A14">
        <w:rPr>
          <w:rFonts w:ascii="Arial" w:hAnsi="Arial" w:cs="Arial"/>
          <w:sz w:val="20"/>
          <w:szCs w:val="20"/>
        </w:rPr>
        <w:t>doi</w:t>
      </w:r>
      <w:proofErr w:type="spellEnd"/>
      <w:proofErr w:type="gramEnd"/>
      <w:r w:rsidR="00A87A14" w:rsidRPr="00A87A14">
        <w:rPr>
          <w:rFonts w:ascii="Arial" w:hAnsi="Arial" w:cs="Arial"/>
          <w:sz w:val="20"/>
          <w:szCs w:val="20"/>
        </w:rPr>
        <w:t xml:space="preserve">: 10.1016/j.ab.2007.10.026 </w:t>
      </w:r>
    </w:p>
    <w:p w:rsidR="00A014F2" w:rsidRPr="00685A7C" w:rsidRDefault="00A87A14" w:rsidP="00836402">
      <w:pPr>
        <w:spacing w:line="360" w:lineRule="auto"/>
        <w:ind w:left="540" w:hanging="540"/>
        <w:rPr>
          <w:rFonts w:ascii="Arial" w:hAnsi="Arial" w:cs="Arial"/>
          <w:sz w:val="20"/>
          <w:szCs w:val="20"/>
        </w:rPr>
      </w:pPr>
      <w:r>
        <w:rPr>
          <w:rStyle w:val="Hyperlink"/>
          <w:rFonts w:ascii="Arial" w:hAnsi="Arial" w:cs="Arial"/>
          <w:color w:val="auto"/>
          <w:sz w:val="20"/>
          <w:szCs w:val="20"/>
          <w:u w:val="none"/>
        </w:rPr>
        <w:lastRenderedPageBreak/>
        <w:t xml:space="preserve">[24] </w:t>
      </w:r>
      <w:r w:rsidRPr="00A87A14">
        <w:rPr>
          <w:rFonts w:ascii="Arial" w:hAnsi="Arial" w:cs="Arial"/>
          <w:sz w:val="20"/>
          <w:szCs w:val="20"/>
        </w:rPr>
        <w:t xml:space="preserve">Life Technologies. </w:t>
      </w:r>
      <w:proofErr w:type="gramStart"/>
      <w:r w:rsidRPr="00A87A14">
        <w:rPr>
          <w:rFonts w:ascii="Arial" w:hAnsi="Arial" w:cs="Arial"/>
          <w:sz w:val="20"/>
          <w:szCs w:val="20"/>
        </w:rPr>
        <w:t>(</w:t>
      </w:r>
      <w:proofErr w:type="spellStart"/>
      <w:r w:rsidRPr="00A87A14">
        <w:rPr>
          <w:rFonts w:ascii="Arial" w:hAnsi="Arial" w:cs="Arial"/>
          <w:sz w:val="20"/>
          <w:szCs w:val="20"/>
        </w:rPr>
        <w:t>n.d.</w:t>
      </w:r>
      <w:proofErr w:type="spellEnd"/>
      <w:r w:rsidRPr="00A87A14">
        <w:rPr>
          <w:rFonts w:ascii="Arial" w:hAnsi="Arial" w:cs="Arial"/>
          <w:sz w:val="20"/>
          <w:szCs w:val="20"/>
        </w:rPr>
        <w:t>).</w:t>
      </w:r>
      <w:proofErr w:type="gramEnd"/>
      <w:r w:rsidRPr="00A87A14">
        <w:rPr>
          <w:rFonts w:ascii="Arial" w:hAnsi="Arial" w:cs="Arial"/>
          <w:sz w:val="20"/>
          <w:szCs w:val="20"/>
        </w:rPr>
        <w:t> </w:t>
      </w:r>
      <w:proofErr w:type="gramStart"/>
      <w:r w:rsidRPr="00A87A14">
        <w:rPr>
          <w:rFonts w:ascii="Arial" w:hAnsi="Arial" w:cs="Arial"/>
          <w:i/>
          <w:iCs/>
          <w:sz w:val="20"/>
          <w:szCs w:val="20"/>
        </w:rPr>
        <w:t>Strategies for detecting m</w:t>
      </w:r>
      <w:r>
        <w:rPr>
          <w:rFonts w:ascii="Arial" w:hAnsi="Arial" w:cs="Arial"/>
          <w:i/>
          <w:iCs/>
          <w:sz w:val="20"/>
          <w:szCs w:val="20"/>
        </w:rPr>
        <w:t>RNA</w:t>
      </w:r>
      <w:r w:rsidRPr="00A87A14">
        <w:rPr>
          <w:rFonts w:ascii="Arial" w:hAnsi="Arial" w:cs="Arial"/>
          <w:i/>
          <w:iCs/>
          <w:sz w:val="20"/>
          <w:szCs w:val="20"/>
        </w:rPr>
        <w:t xml:space="preserve"> </w:t>
      </w:r>
      <w:r>
        <w:rPr>
          <w:rFonts w:ascii="Arial" w:hAnsi="Arial" w:cs="Arial"/>
          <w:i/>
          <w:iCs/>
          <w:sz w:val="20"/>
          <w:szCs w:val="20"/>
        </w:rPr>
        <w:t>N</w:t>
      </w:r>
      <w:r w:rsidRPr="00A87A14">
        <w:rPr>
          <w:rFonts w:ascii="Arial" w:hAnsi="Arial" w:cs="Arial"/>
          <w:i/>
          <w:iCs/>
          <w:sz w:val="20"/>
          <w:szCs w:val="20"/>
        </w:rPr>
        <w:t xml:space="preserve">orthern blotting, nuclease protection assays, </w:t>
      </w:r>
      <w:r w:rsidRPr="00A87A14">
        <w:rPr>
          <w:rFonts w:ascii="Arial" w:hAnsi="Arial" w:cs="Arial"/>
          <w:iCs/>
          <w:sz w:val="20"/>
          <w:szCs w:val="20"/>
        </w:rPr>
        <w:t>in situ</w:t>
      </w:r>
      <w:r w:rsidRPr="00A87A14">
        <w:rPr>
          <w:rFonts w:ascii="Arial" w:hAnsi="Arial" w:cs="Arial"/>
          <w:i/>
          <w:iCs/>
          <w:sz w:val="20"/>
          <w:szCs w:val="20"/>
        </w:rPr>
        <w:t xml:space="preserve"> hybridization, and </w:t>
      </w:r>
      <w:r>
        <w:rPr>
          <w:rFonts w:ascii="Arial" w:hAnsi="Arial" w:cs="Arial"/>
          <w:i/>
          <w:iCs/>
          <w:sz w:val="20"/>
          <w:szCs w:val="20"/>
        </w:rPr>
        <w:t>RT-PCR</w:t>
      </w:r>
      <w:r w:rsidRPr="00A87A14">
        <w:rPr>
          <w:rFonts w:ascii="Arial" w:hAnsi="Arial" w:cs="Arial"/>
          <w:sz w:val="20"/>
          <w:szCs w:val="20"/>
        </w:rPr>
        <w:t>.</w:t>
      </w:r>
      <w:proofErr w:type="gramEnd"/>
      <w:r w:rsidRPr="00A87A14">
        <w:rPr>
          <w:rFonts w:ascii="Arial" w:hAnsi="Arial" w:cs="Arial"/>
          <w:sz w:val="20"/>
          <w:szCs w:val="20"/>
        </w:rPr>
        <w:t xml:space="preserve"> Retrieved from http://www.invitrogen.com/site/us/en/home/References/Ambion-Tech-Support/northern-analysis/tech-notes/strategies-for-detecting-mrna.html</w:t>
      </w:r>
    </w:p>
    <w:p w:rsidR="00E70CE4" w:rsidRDefault="005A3470" w:rsidP="00836402">
      <w:pPr>
        <w:spacing w:line="360" w:lineRule="auto"/>
        <w:ind w:left="540" w:hanging="540"/>
        <w:rPr>
          <w:rFonts w:ascii="Arial" w:hAnsi="Arial" w:cs="Arial"/>
          <w:sz w:val="20"/>
          <w:szCs w:val="20"/>
        </w:rPr>
      </w:pPr>
      <w:r>
        <w:rPr>
          <w:rFonts w:ascii="Arial" w:hAnsi="Arial" w:cs="Arial"/>
          <w:sz w:val="20"/>
          <w:szCs w:val="20"/>
        </w:rPr>
        <w:t>[25</w:t>
      </w:r>
      <w:r w:rsidR="0079021C" w:rsidRPr="00685A7C">
        <w:rPr>
          <w:rFonts w:ascii="Arial" w:hAnsi="Arial" w:cs="Arial"/>
          <w:sz w:val="20"/>
          <w:szCs w:val="20"/>
        </w:rPr>
        <w:t xml:space="preserve">] </w:t>
      </w:r>
      <w:r w:rsidR="00E70CE4" w:rsidRPr="00E70CE4">
        <w:rPr>
          <w:rFonts w:ascii="Arial" w:hAnsi="Arial" w:cs="Arial"/>
          <w:sz w:val="20"/>
          <w:szCs w:val="20"/>
        </w:rPr>
        <w:t xml:space="preserve">Li, H., &amp; </w:t>
      </w:r>
      <w:proofErr w:type="spellStart"/>
      <w:r w:rsidR="00E70CE4" w:rsidRPr="00E70CE4">
        <w:rPr>
          <w:rFonts w:ascii="Arial" w:hAnsi="Arial" w:cs="Arial"/>
          <w:sz w:val="20"/>
          <w:szCs w:val="20"/>
        </w:rPr>
        <w:t>Rothberh</w:t>
      </w:r>
      <w:proofErr w:type="spellEnd"/>
      <w:r w:rsidR="00E70CE4" w:rsidRPr="00E70CE4">
        <w:rPr>
          <w:rFonts w:ascii="Arial" w:hAnsi="Arial" w:cs="Arial"/>
          <w:sz w:val="20"/>
          <w:szCs w:val="20"/>
        </w:rPr>
        <w:t xml:space="preserve">, L. (2004). </w:t>
      </w:r>
      <w:proofErr w:type="gramStart"/>
      <w:r w:rsidR="00E70CE4" w:rsidRPr="00E70CE4">
        <w:rPr>
          <w:rFonts w:ascii="Arial" w:hAnsi="Arial" w:cs="Arial"/>
          <w:sz w:val="20"/>
          <w:szCs w:val="20"/>
        </w:rPr>
        <w:t xml:space="preserve">Colorimetric detection of </w:t>
      </w:r>
      <w:r w:rsidR="00E70CE4">
        <w:rPr>
          <w:rFonts w:ascii="Arial" w:hAnsi="Arial" w:cs="Arial"/>
          <w:sz w:val="20"/>
          <w:szCs w:val="20"/>
        </w:rPr>
        <w:t>DNA</w:t>
      </w:r>
      <w:r w:rsidR="00E70CE4" w:rsidRPr="00E70CE4">
        <w:rPr>
          <w:rFonts w:ascii="Arial" w:hAnsi="Arial" w:cs="Arial"/>
          <w:sz w:val="20"/>
          <w:szCs w:val="20"/>
        </w:rPr>
        <w:t xml:space="preserve"> sequences based on electrostatic interactions with unmodified gold nanoparticles.</w:t>
      </w:r>
      <w:proofErr w:type="gramEnd"/>
      <w:r w:rsidR="00E70CE4" w:rsidRPr="00E70CE4">
        <w:rPr>
          <w:rFonts w:ascii="Arial" w:hAnsi="Arial" w:cs="Arial"/>
          <w:sz w:val="20"/>
          <w:szCs w:val="20"/>
        </w:rPr>
        <w:t> </w:t>
      </w:r>
      <w:r w:rsidR="00E70CE4" w:rsidRPr="00E70CE4">
        <w:rPr>
          <w:rFonts w:ascii="Arial" w:hAnsi="Arial" w:cs="Arial"/>
          <w:i/>
          <w:iCs/>
          <w:sz w:val="20"/>
          <w:szCs w:val="20"/>
        </w:rPr>
        <w:t>Proceedings of the National Academy of Sciences of the United States of America</w:t>
      </w:r>
      <w:r w:rsidR="00E70CE4" w:rsidRPr="00E70CE4">
        <w:rPr>
          <w:rFonts w:ascii="Arial" w:hAnsi="Arial" w:cs="Arial"/>
          <w:sz w:val="20"/>
          <w:szCs w:val="20"/>
        </w:rPr>
        <w:t>, </w:t>
      </w:r>
      <w:r w:rsidR="00E70CE4" w:rsidRPr="00E70CE4">
        <w:rPr>
          <w:rFonts w:ascii="Arial" w:hAnsi="Arial" w:cs="Arial"/>
          <w:i/>
          <w:iCs/>
          <w:sz w:val="20"/>
          <w:szCs w:val="20"/>
        </w:rPr>
        <w:t>101</w:t>
      </w:r>
      <w:r w:rsidR="00E70CE4" w:rsidRPr="00E70CE4">
        <w:rPr>
          <w:rFonts w:ascii="Arial" w:hAnsi="Arial" w:cs="Arial"/>
          <w:sz w:val="20"/>
          <w:szCs w:val="20"/>
        </w:rPr>
        <w:t xml:space="preserve">(39), 14036-14039. </w:t>
      </w:r>
      <w:proofErr w:type="spellStart"/>
      <w:proofErr w:type="gramStart"/>
      <w:r w:rsidR="00E70CE4" w:rsidRPr="00E70CE4">
        <w:rPr>
          <w:rFonts w:ascii="Arial" w:hAnsi="Arial" w:cs="Arial"/>
          <w:sz w:val="20"/>
          <w:szCs w:val="20"/>
        </w:rPr>
        <w:t>doi</w:t>
      </w:r>
      <w:proofErr w:type="spellEnd"/>
      <w:proofErr w:type="gramEnd"/>
      <w:r w:rsidR="00E70CE4" w:rsidRPr="00E70CE4">
        <w:rPr>
          <w:rFonts w:ascii="Arial" w:hAnsi="Arial" w:cs="Arial"/>
          <w:sz w:val="20"/>
          <w:szCs w:val="20"/>
        </w:rPr>
        <w:t xml:space="preserve">: 10.1073/pnas.0406115101 </w:t>
      </w:r>
    </w:p>
    <w:p w:rsidR="004E6BE0" w:rsidRPr="00685A7C" w:rsidRDefault="005A3470" w:rsidP="00836402">
      <w:pPr>
        <w:spacing w:line="360" w:lineRule="auto"/>
        <w:ind w:left="540" w:hanging="540"/>
        <w:rPr>
          <w:rFonts w:ascii="Arial" w:hAnsi="Arial" w:cs="Arial"/>
          <w:sz w:val="20"/>
          <w:szCs w:val="20"/>
        </w:rPr>
      </w:pPr>
      <w:r>
        <w:rPr>
          <w:rFonts w:ascii="Arial" w:hAnsi="Arial" w:cs="Arial"/>
          <w:sz w:val="20"/>
          <w:szCs w:val="20"/>
        </w:rPr>
        <w:t>[26</w:t>
      </w:r>
      <w:r w:rsidR="00FC57C3" w:rsidRPr="00685A7C">
        <w:rPr>
          <w:rFonts w:ascii="Arial" w:hAnsi="Arial" w:cs="Arial"/>
          <w:sz w:val="20"/>
          <w:szCs w:val="20"/>
        </w:rPr>
        <w:t xml:space="preserve">] </w:t>
      </w:r>
      <w:r w:rsidR="00E70CE4" w:rsidRPr="00E70CE4">
        <w:rPr>
          <w:rFonts w:ascii="Arial" w:hAnsi="Arial" w:cs="Arial"/>
          <w:sz w:val="20"/>
          <w:szCs w:val="20"/>
        </w:rPr>
        <w:t xml:space="preserve">Goff, L. A., Yang, M., Bowers, J., </w:t>
      </w:r>
      <w:proofErr w:type="spellStart"/>
      <w:r w:rsidR="00E70CE4" w:rsidRPr="00E70CE4">
        <w:rPr>
          <w:rFonts w:ascii="Arial" w:hAnsi="Arial" w:cs="Arial"/>
          <w:sz w:val="20"/>
          <w:szCs w:val="20"/>
        </w:rPr>
        <w:t>Getts</w:t>
      </w:r>
      <w:proofErr w:type="spellEnd"/>
      <w:r w:rsidR="00E70CE4" w:rsidRPr="00E70CE4">
        <w:rPr>
          <w:rFonts w:ascii="Arial" w:hAnsi="Arial" w:cs="Arial"/>
          <w:sz w:val="20"/>
          <w:szCs w:val="20"/>
        </w:rPr>
        <w:t>, R. C., Padgett, R. W., &amp; Hart, R. P. (2005). Rational probe optimization and enhanced detection strategy for micro</w:t>
      </w:r>
      <w:r w:rsidR="00E70CE4">
        <w:rPr>
          <w:rFonts w:ascii="Arial" w:hAnsi="Arial" w:cs="Arial"/>
          <w:sz w:val="20"/>
          <w:szCs w:val="20"/>
        </w:rPr>
        <w:t>RNAs using microa</w:t>
      </w:r>
      <w:r w:rsidR="00E70CE4" w:rsidRPr="00E70CE4">
        <w:rPr>
          <w:rFonts w:ascii="Arial" w:hAnsi="Arial" w:cs="Arial"/>
          <w:sz w:val="20"/>
          <w:szCs w:val="20"/>
        </w:rPr>
        <w:t xml:space="preserve">rrays. </w:t>
      </w:r>
      <w:r w:rsidR="00E70CE4" w:rsidRPr="00E70CE4">
        <w:rPr>
          <w:rFonts w:ascii="Arial" w:hAnsi="Arial" w:cs="Arial"/>
          <w:i/>
          <w:sz w:val="20"/>
          <w:szCs w:val="20"/>
        </w:rPr>
        <w:t>RNA Biology</w:t>
      </w:r>
      <w:r w:rsidR="00E70CE4" w:rsidRPr="00E70CE4">
        <w:rPr>
          <w:rFonts w:ascii="Arial" w:hAnsi="Arial" w:cs="Arial"/>
          <w:sz w:val="20"/>
          <w:szCs w:val="20"/>
        </w:rPr>
        <w:t>, 2(3), 93-100.</w:t>
      </w:r>
    </w:p>
    <w:sectPr w:rsidR="004E6BE0" w:rsidRPr="00685A7C" w:rsidSect="00FD37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AA"/>
    <w:rsid w:val="00013C04"/>
    <w:rsid w:val="0004408D"/>
    <w:rsid w:val="00063185"/>
    <w:rsid w:val="000642C1"/>
    <w:rsid w:val="000668A6"/>
    <w:rsid w:val="00067457"/>
    <w:rsid w:val="00073480"/>
    <w:rsid w:val="00081C74"/>
    <w:rsid w:val="000A3C7D"/>
    <w:rsid w:val="000C264E"/>
    <w:rsid w:val="000C5A36"/>
    <w:rsid w:val="000D4C63"/>
    <w:rsid w:val="000D7C0C"/>
    <w:rsid w:val="000F038E"/>
    <w:rsid w:val="0010681A"/>
    <w:rsid w:val="00135DA9"/>
    <w:rsid w:val="00145DED"/>
    <w:rsid w:val="00151058"/>
    <w:rsid w:val="00170E59"/>
    <w:rsid w:val="0019748E"/>
    <w:rsid w:val="001A046C"/>
    <w:rsid w:val="001A12ED"/>
    <w:rsid w:val="001B36DE"/>
    <w:rsid w:val="001E2508"/>
    <w:rsid w:val="0020716E"/>
    <w:rsid w:val="00210AA6"/>
    <w:rsid w:val="00231EAA"/>
    <w:rsid w:val="00240A8C"/>
    <w:rsid w:val="002505C8"/>
    <w:rsid w:val="002A2B4F"/>
    <w:rsid w:val="002B122E"/>
    <w:rsid w:val="002B7064"/>
    <w:rsid w:val="002C0EFA"/>
    <w:rsid w:val="002C1BBC"/>
    <w:rsid w:val="002E6081"/>
    <w:rsid w:val="002F6F95"/>
    <w:rsid w:val="003058C1"/>
    <w:rsid w:val="00337610"/>
    <w:rsid w:val="003812DB"/>
    <w:rsid w:val="00394D5B"/>
    <w:rsid w:val="003B52C6"/>
    <w:rsid w:val="003D2D56"/>
    <w:rsid w:val="003E3FAC"/>
    <w:rsid w:val="00401DEA"/>
    <w:rsid w:val="00406E00"/>
    <w:rsid w:val="0040749B"/>
    <w:rsid w:val="0049315F"/>
    <w:rsid w:val="004946F7"/>
    <w:rsid w:val="004A7BAE"/>
    <w:rsid w:val="004B2EBB"/>
    <w:rsid w:val="004D3CE1"/>
    <w:rsid w:val="004E3D30"/>
    <w:rsid w:val="004E6BE0"/>
    <w:rsid w:val="004F2B89"/>
    <w:rsid w:val="00506CE6"/>
    <w:rsid w:val="00513710"/>
    <w:rsid w:val="00542F11"/>
    <w:rsid w:val="005A3470"/>
    <w:rsid w:val="005A429B"/>
    <w:rsid w:val="005B2426"/>
    <w:rsid w:val="006033D2"/>
    <w:rsid w:val="00607AC2"/>
    <w:rsid w:val="00614162"/>
    <w:rsid w:val="00625FCC"/>
    <w:rsid w:val="00637CD0"/>
    <w:rsid w:val="00650883"/>
    <w:rsid w:val="0066251E"/>
    <w:rsid w:val="006718A6"/>
    <w:rsid w:val="00685A7C"/>
    <w:rsid w:val="006A3414"/>
    <w:rsid w:val="006A4C16"/>
    <w:rsid w:val="006A51D2"/>
    <w:rsid w:val="006A6608"/>
    <w:rsid w:val="006A7123"/>
    <w:rsid w:val="006B40C2"/>
    <w:rsid w:val="006B7F8D"/>
    <w:rsid w:val="006D2871"/>
    <w:rsid w:val="00741520"/>
    <w:rsid w:val="007549EC"/>
    <w:rsid w:val="00782580"/>
    <w:rsid w:val="0079021C"/>
    <w:rsid w:val="008043C1"/>
    <w:rsid w:val="00806493"/>
    <w:rsid w:val="008132EE"/>
    <w:rsid w:val="00832E5D"/>
    <w:rsid w:val="00836402"/>
    <w:rsid w:val="00874DC7"/>
    <w:rsid w:val="008B5B76"/>
    <w:rsid w:val="008B7594"/>
    <w:rsid w:val="008C33DF"/>
    <w:rsid w:val="008C67A6"/>
    <w:rsid w:val="008D35C0"/>
    <w:rsid w:val="008F0CF9"/>
    <w:rsid w:val="008F29A5"/>
    <w:rsid w:val="00906C63"/>
    <w:rsid w:val="009525EE"/>
    <w:rsid w:val="009614E3"/>
    <w:rsid w:val="009763A4"/>
    <w:rsid w:val="00984487"/>
    <w:rsid w:val="00991FC7"/>
    <w:rsid w:val="009A37DB"/>
    <w:rsid w:val="009B566D"/>
    <w:rsid w:val="009D23DF"/>
    <w:rsid w:val="009E4815"/>
    <w:rsid w:val="00A014F2"/>
    <w:rsid w:val="00A67A4A"/>
    <w:rsid w:val="00A80BD4"/>
    <w:rsid w:val="00A87A14"/>
    <w:rsid w:val="00A93AEC"/>
    <w:rsid w:val="00AA2D8A"/>
    <w:rsid w:val="00AA5AF1"/>
    <w:rsid w:val="00AC7498"/>
    <w:rsid w:val="00AD25C1"/>
    <w:rsid w:val="00AE1EFA"/>
    <w:rsid w:val="00AE67E6"/>
    <w:rsid w:val="00B03731"/>
    <w:rsid w:val="00B04558"/>
    <w:rsid w:val="00B70313"/>
    <w:rsid w:val="00B70691"/>
    <w:rsid w:val="00B8353C"/>
    <w:rsid w:val="00BA0640"/>
    <w:rsid w:val="00BB01A4"/>
    <w:rsid w:val="00BE3D6F"/>
    <w:rsid w:val="00BE6562"/>
    <w:rsid w:val="00C02CCC"/>
    <w:rsid w:val="00C15315"/>
    <w:rsid w:val="00C50DE0"/>
    <w:rsid w:val="00C52BF9"/>
    <w:rsid w:val="00C76351"/>
    <w:rsid w:val="00C77DB7"/>
    <w:rsid w:val="00CA0AB5"/>
    <w:rsid w:val="00CB08E2"/>
    <w:rsid w:val="00CB689F"/>
    <w:rsid w:val="00CC4FBC"/>
    <w:rsid w:val="00CC7547"/>
    <w:rsid w:val="00CF6BC7"/>
    <w:rsid w:val="00D26353"/>
    <w:rsid w:val="00D3552D"/>
    <w:rsid w:val="00D52CF9"/>
    <w:rsid w:val="00D54BB4"/>
    <w:rsid w:val="00D63076"/>
    <w:rsid w:val="00D634B6"/>
    <w:rsid w:val="00D81556"/>
    <w:rsid w:val="00D8184B"/>
    <w:rsid w:val="00D85B86"/>
    <w:rsid w:val="00DF4C31"/>
    <w:rsid w:val="00E02BC7"/>
    <w:rsid w:val="00E141DC"/>
    <w:rsid w:val="00E251AA"/>
    <w:rsid w:val="00E260F3"/>
    <w:rsid w:val="00E263FB"/>
    <w:rsid w:val="00E50069"/>
    <w:rsid w:val="00E70CE4"/>
    <w:rsid w:val="00E72A32"/>
    <w:rsid w:val="00E77E48"/>
    <w:rsid w:val="00E94691"/>
    <w:rsid w:val="00EC707B"/>
    <w:rsid w:val="00ED6E66"/>
    <w:rsid w:val="00EF16CC"/>
    <w:rsid w:val="00F06B9E"/>
    <w:rsid w:val="00F4074C"/>
    <w:rsid w:val="00F55C3E"/>
    <w:rsid w:val="00F60FAA"/>
    <w:rsid w:val="00F752ED"/>
    <w:rsid w:val="00FC57C3"/>
    <w:rsid w:val="00FD3797"/>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EAA"/>
    <w:rPr>
      <w:color w:val="0000FF"/>
      <w:u w:val="single"/>
    </w:rPr>
  </w:style>
  <w:style w:type="character" w:styleId="FollowedHyperlink">
    <w:name w:val="FollowedHyperlink"/>
    <w:basedOn w:val="DefaultParagraphFont"/>
    <w:uiPriority w:val="99"/>
    <w:semiHidden/>
    <w:unhideWhenUsed/>
    <w:rsid w:val="00231EAA"/>
    <w:rPr>
      <w:color w:val="800080" w:themeColor="followedHyperlink"/>
      <w:u w:val="single"/>
    </w:rPr>
  </w:style>
  <w:style w:type="paragraph" w:styleId="BalloonText">
    <w:name w:val="Balloon Text"/>
    <w:basedOn w:val="Normal"/>
    <w:link w:val="BalloonTextChar"/>
    <w:uiPriority w:val="99"/>
    <w:semiHidden/>
    <w:unhideWhenUsed/>
    <w:rsid w:val="00BB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A4"/>
    <w:rPr>
      <w:rFonts w:ascii="Tahoma" w:hAnsi="Tahoma" w:cs="Tahoma"/>
      <w:sz w:val="16"/>
      <w:szCs w:val="16"/>
    </w:rPr>
  </w:style>
  <w:style w:type="character" w:customStyle="1" w:styleId="apple-converted-space">
    <w:name w:val="apple-converted-space"/>
    <w:basedOn w:val="DefaultParagraphFont"/>
    <w:rsid w:val="00984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EAA"/>
    <w:rPr>
      <w:color w:val="0000FF"/>
      <w:u w:val="single"/>
    </w:rPr>
  </w:style>
  <w:style w:type="character" w:styleId="FollowedHyperlink">
    <w:name w:val="FollowedHyperlink"/>
    <w:basedOn w:val="DefaultParagraphFont"/>
    <w:uiPriority w:val="99"/>
    <w:semiHidden/>
    <w:unhideWhenUsed/>
    <w:rsid w:val="00231EAA"/>
    <w:rPr>
      <w:color w:val="800080" w:themeColor="followedHyperlink"/>
      <w:u w:val="single"/>
    </w:rPr>
  </w:style>
  <w:style w:type="paragraph" w:styleId="BalloonText">
    <w:name w:val="Balloon Text"/>
    <w:basedOn w:val="Normal"/>
    <w:link w:val="BalloonTextChar"/>
    <w:uiPriority w:val="99"/>
    <w:semiHidden/>
    <w:unhideWhenUsed/>
    <w:rsid w:val="00BB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A4"/>
    <w:rPr>
      <w:rFonts w:ascii="Tahoma" w:hAnsi="Tahoma" w:cs="Tahoma"/>
      <w:sz w:val="16"/>
      <w:szCs w:val="16"/>
    </w:rPr>
  </w:style>
  <w:style w:type="character" w:customStyle="1" w:styleId="apple-converted-space">
    <w:name w:val="apple-converted-space"/>
    <w:basedOn w:val="DefaultParagraphFont"/>
    <w:rsid w:val="0098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13</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158</cp:revision>
  <dcterms:created xsi:type="dcterms:W3CDTF">2013-05-08T00:17:00Z</dcterms:created>
  <dcterms:modified xsi:type="dcterms:W3CDTF">2013-05-10T14:54:00Z</dcterms:modified>
</cp:coreProperties>
</file>